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8C" w:rsidRDefault="0023158C" w:rsidP="00824EF7">
      <w:pPr>
        <w:spacing w:after="120" w:line="240" w:lineRule="auto"/>
        <w:ind w:left="284" w:right="70"/>
        <w:jc w:val="both"/>
        <w:rPr>
          <w:rFonts w:ascii="Constantia" w:hAnsi="Constantia" w:cs="Palatino-Roman"/>
          <w:color w:val="000000" w:themeColor="text1"/>
          <w:sz w:val="21"/>
          <w:szCs w:val="21"/>
        </w:rPr>
      </w:pPr>
      <w:r w:rsidRPr="0023158C">
        <w:rPr>
          <w:rFonts w:ascii="Constantia" w:hAnsi="Constantia"/>
          <w:noProof/>
          <w:color w:val="000000" w:themeColor="text1"/>
          <w:sz w:val="28"/>
          <w:lang w:eastAsia="de-DE"/>
        </w:rPr>
        <mc:AlternateContent>
          <mc:Choice Requires="wps">
            <w:drawing>
              <wp:anchor distT="0" distB="107950" distL="114300" distR="114300" simplePos="0" relativeHeight="251663360" behindDoc="0" locked="0" layoutInCell="1" allowOverlap="1">
                <wp:simplePos x="0" y="0"/>
                <wp:positionH relativeFrom="margin">
                  <wp:posOffset>69215</wp:posOffset>
                </wp:positionH>
                <wp:positionV relativeFrom="paragraph">
                  <wp:posOffset>0</wp:posOffset>
                </wp:positionV>
                <wp:extent cx="6630670" cy="323850"/>
                <wp:effectExtent l="0" t="0" r="17780" b="1905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67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973" w:rsidRDefault="00824EF7">
                            <w:r w:rsidRPr="00824EF7">
                              <w:rPr>
                                <w:rFonts w:ascii="Nirmala UI" w:hAnsi="Nirmala UI" w:cs="Nirmala UI"/>
                                <w:b/>
                                <w:color w:val="000000" w:themeColor="text1"/>
                                <w:sz w:val="28"/>
                              </w:rPr>
                              <w:t>Rawls‘ Schleier der Unwissenheit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.45pt;margin-top:0;width:522.1pt;height:25.5pt;z-index:251663360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" strokecolor="white [3212]">
                <v:textbox>
                  <w:txbxContent>
                    <w:p w:rsidR="00156973" w:rsidRDefault="00824EF7">
                      <w:r w:rsidRPr="00824EF7">
                        <w:rPr>
                          <w:rFonts w:ascii="Nirmala UI" w:hAnsi="Nirmala UI" w:cs="Nirmala UI"/>
                          <w:b/>
                          <w:color w:val="000000" w:themeColor="text1"/>
                          <w:sz w:val="28"/>
                        </w:rPr>
                        <w:t>Rawls‘ Schleier der Unwissenheit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nstantia" w:hAnsi="Constantia" w:cs="Palatino-Roman"/>
          <w:color w:val="000000" w:themeColor="text1"/>
          <w:sz w:val="21"/>
          <w:szCs w:val="21"/>
        </w:rPr>
        <w:t>[…]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Seine 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>(</w:t>
      </w:r>
      <w:r w:rsidR="0021618B">
        <w:rPr>
          <w:rFonts w:ascii="Constantia" w:hAnsi="Constantia" w:cs="Palatino-Roman"/>
          <w:color w:val="000000" w:themeColor="text1"/>
          <w:sz w:val="21"/>
          <w:szCs w:val="21"/>
        </w:rPr>
        <w:t xml:space="preserve">John 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Rawls, Anm. d. R.)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Grundidee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ist, dass gerechtfertigte und objektiv verbindliche Prinzipien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der Gerechtigkeit identisch sind mit den Prinzipien,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die freie und rationale, nur an ihrem eigenen Interesse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ausgerichtete Personen wählen würden, wenn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sie in einen ursprünglichen Zustand der Gleichheit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versetzt wären und die Aufgabe bekämen, die Form,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die Grundstruktur und die fundamentalen, alle Folgegesetze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bindenden Normen ihrer zukünftigen Gesellschaft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zu bestimmen. Die vielen Konjunktive (Möglichkeitsformen)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zeigen bereits an, dass es sich hier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ebenfalls um das Gedankenexperiment einer fiktiven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Verfassungswahl handelt.</w:t>
      </w:r>
      <w:r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</w:p>
    <w:p w:rsidR="0023158C" w:rsidRDefault="00746C15" w:rsidP="00824EF7">
      <w:pPr>
        <w:spacing w:after="120" w:line="240" w:lineRule="auto"/>
        <w:ind w:left="284" w:right="70"/>
        <w:jc w:val="both"/>
        <w:rPr>
          <w:rFonts w:ascii="Constantia" w:hAnsi="Constantia" w:cs="Palatino-Roman"/>
          <w:color w:val="000000" w:themeColor="text1"/>
          <w:sz w:val="21"/>
          <w:szCs w:val="21"/>
        </w:rPr>
      </w:pPr>
      <w:r w:rsidRPr="0023158C">
        <w:rPr>
          <w:rFonts w:ascii="Constantia" w:hAnsi="Constantia" w:cs="Palatino-Roman"/>
          <w:noProof/>
          <w:color w:val="000000" w:themeColor="text1"/>
          <w:sz w:val="21"/>
          <w:szCs w:val="21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9D487" wp14:editId="2EDB46A8">
                <wp:simplePos x="0" y="0"/>
                <wp:positionH relativeFrom="margin">
                  <wp:posOffset>-85725</wp:posOffset>
                </wp:positionH>
                <wp:positionV relativeFrom="page">
                  <wp:posOffset>10108565</wp:posOffset>
                </wp:positionV>
                <wp:extent cx="6812280" cy="47879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280" cy="47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15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MS Gothic" w:eastAsia="MS Gothic" w:hAnsi="MS Gothic" w:cs="MS Gothic" w:hint="eastAsia"/>
                                <w:sz w:val="14"/>
                              </w:rPr>
                              <w:t>ⓒ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      </w:r>
                            <w:r w:rsidR="0009219D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der blaue reiter </w:t>
                            </w:r>
                            <w:bookmarkStart w:id="0" w:name="_GoBack"/>
                            <w:bookmarkEnd w:id="0"/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Verlag für Philosophie Siegfried Reusch e.K. / </w:t>
                            </w:r>
                          </w:p>
                          <w:p w:rsidR="00746C15" w:rsidRPr="0010154E" w:rsidRDefault="00746C15" w:rsidP="00746C15">
                            <w:pPr>
                              <w:pBdr>
                                <w:top w:val="single" w:sz="2" w:space="1" w:color="BFBFBF" w:themeColor="background1" w:themeShade="BF"/>
                              </w:pBdr>
                              <w:spacing w:after="0" w:line="180" w:lineRule="exact"/>
                              <w:jc w:val="center"/>
                              <w:rPr>
                                <w:rFonts w:ascii="Nirmala UI" w:hAnsi="Nirmala UI" w:cs="Nirmala UI"/>
                                <w:sz w:val="14"/>
                              </w:rPr>
                            </w:pP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>Göttinge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r Chaussee 115 / 30459 Hannover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Telefon: 05 11 / 98 59 32 93 // Telefax: 05 11 / 98 59 32 99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/</w:t>
                            </w:r>
                            <w:r w:rsidRPr="0010154E">
                              <w:rPr>
                                <w:rFonts w:ascii="Nirmala UI" w:hAnsi="Nirmala UI" w:cs="Nirmala UI"/>
                                <w:sz w:val="14"/>
                              </w:rPr>
                              <w:t xml:space="preserve"> E-Mail: info@verlag-derblauereiter.de</w:t>
                            </w:r>
                            <w:r>
                              <w:rPr>
                                <w:rFonts w:ascii="Nirmala UI" w:hAnsi="Nirmala UI" w:cs="Nirmala UI"/>
                                <w:sz w:val="14"/>
                              </w:rPr>
                              <w:t>)</w:t>
                            </w:r>
                          </w:p>
                          <w:p w:rsidR="00746C15" w:rsidRDefault="00746C15" w:rsidP="00746C15"/>
                          <w:p w:rsidR="00746C15" w:rsidRPr="00CF4082" w:rsidRDefault="00746C15" w:rsidP="00746C15">
                            <w:pPr>
                              <w:spacing w:after="0" w:line="160" w:lineRule="exact"/>
                              <w:jc w:val="center"/>
                              <w:rPr>
                                <w:rFonts w:ascii="Nirmala UI" w:hAnsi="Nirmala UI" w:cs="Nirmala UI"/>
                                <w:color w:val="262626" w:themeColor="text1" w:themeTint="D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9D48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7" type="#_x0000_t202" style="position:absolute;left:0;text-align:left;margin-left:-6.75pt;margin-top:795.95pt;width:536.4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" filled="f" stroked="f" strokeweight=".5pt">
                <v:textbox>
                  <w:txbxContent>
                    <w:p w:rsidR="00746C15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MS Gothic" w:eastAsia="MS Gothic" w:hAnsi="MS Gothic" w:cs="MS Gothic" w:hint="eastAsia"/>
                          <w:sz w:val="14"/>
                        </w:rPr>
                        <w:t>ⓒ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Die Nutzung des Arbeitsblattes und der darauf enthaltenen Textauszüge unterliegt den strengen Richtlinien des Urheberrechts. Jegliche nicht private, kommerzielle respektive geschäftliche Nutzung bedarf der ausdrücklichen schriftlichen Genehmigung des Verlags (</w:t>
                      </w:r>
                      <w:r w:rsidR="0009219D">
                        <w:rPr>
                          <w:rFonts w:ascii="Nirmala UI" w:hAnsi="Nirmala UI" w:cs="Nirmala UI"/>
                          <w:sz w:val="14"/>
                        </w:rPr>
                        <w:t xml:space="preserve">der blaue reiter </w:t>
                      </w:r>
                      <w:bookmarkStart w:id="1" w:name="_GoBack"/>
                      <w:bookmarkEnd w:id="1"/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Verlag für Philosophie Siegfried Reusch e.K. / </w:t>
                      </w:r>
                    </w:p>
                    <w:p w:rsidR="00746C15" w:rsidRPr="0010154E" w:rsidRDefault="00746C15" w:rsidP="00746C15">
                      <w:pPr>
                        <w:pBdr>
                          <w:top w:val="single" w:sz="2" w:space="1" w:color="BFBFBF" w:themeColor="background1" w:themeShade="BF"/>
                        </w:pBdr>
                        <w:spacing w:after="0" w:line="180" w:lineRule="exact"/>
                        <w:jc w:val="center"/>
                        <w:rPr>
                          <w:rFonts w:ascii="Nirmala UI" w:hAnsi="Nirmala UI" w:cs="Nirmala UI"/>
                          <w:sz w:val="14"/>
                        </w:rPr>
                      </w:pP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>Göttinge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r Chaussee 115 / 30459 Hannover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Telefon: 05 11 / 98 59 32 93 // Telefax: 05 11 / 98 59 32 99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 xml:space="preserve"> /</w:t>
                      </w:r>
                      <w:r w:rsidRPr="0010154E">
                        <w:rPr>
                          <w:rFonts w:ascii="Nirmala UI" w:hAnsi="Nirmala UI" w:cs="Nirmala UI"/>
                          <w:sz w:val="14"/>
                        </w:rPr>
                        <w:t xml:space="preserve"> E-Mail: info@verlag-derblauereiter.de</w:t>
                      </w:r>
                      <w:r>
                        <w:rPr>
                          <w:rFonts w:ascii="Nirmala UI" w:hAnsi="Nirmala UI" w:cs="Nirmala UI"/>
                          <w:sz w:val="14"/>
                        </w:rPr>
                        <w:t>)</w:t>
                      </w:r>
                    </w:p>
                    <w:p w:rsidR="00746C15" w:rsidRDefault="00746C15" w:rsidP="00746C15"/>
                    <w:p w:rsidR="00746C15" w:rsidRPr="00CF4082" w:rsidRDefault="00746C15" w:rsidP="00746C15">
                      <w:pPr>
                        <w:spacing w:after="0" w:line="160" w:lineRule="exact"/>
                        <w:jc w:val="center"/>
                        <w:rPr>
                          <w:rFonts w:ascii="Nirmala UI" w:hAnsi="Nirmala UI" w:cs="Nirmala UI"/>
                          <w:color w:val="262626" w:themeColor="text1" w:themeTint="D9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83E70" w:rsidRPr="0023158C"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5947410</wp:posOffset>
            </wp:positionH>
            <wp:positionV relativeFrom="margin">
              <wp:posOffset>8214995</wp:posOffset>
            </wp:positionV>
            <wp:extent cx="809625" cy="680085"/>
            <wp:effectExtent l="7620" t="0" r="0" b="0"/>
            <wp:wrapSquare wrapText="bothSides"/>
            <wp:docPr id="4" name="Grafik 4" descr="C:\ANNA\der blaue reiter\Lehrerportal\Logo dbr sei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NNA\der blaue reiter\Lehrerportal\Logo dbr sei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962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Freilich sind die Ergebnisse dieses Gedankenexperiments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nur dann annehmbar, wenn sichergestellt ist,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dass die Einigung unter fairen Bedingunge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>n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stattgefunden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hat. Faire Bedingungen sind solche, die niemanden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benachteiligen und niemanden bevorzugen.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Rawls sorgt in seinem Gedankenexperiment dadurch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für Fairness, dass er jeden der Verfassungswähler unter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einem „Schleier der Unwissenheit“ versteckt, der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die Eigentümlichkeit besitzt, die Agierenden weniger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für die Augen anderer, sondern vielmehr und vor allem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="00824EF7" w:rsidRPr="0023158C">
        <w:rPr>
          <w:rFonts w:ascii="Constantia" w:hAnsi="Constantia" w:cs="Palatino-Roman"/>
          <w:color w:val="000000" w:themeColor="text1"/>
          <w:sz w:val="21"/>
          <w:szCs w:val="21"/>
        </w:rPr>
        <w:t>für sich selbst unsichtbar zu machen.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</w:p>
    <w:p w:rsidR="00824EF7" w:rsidRPr="0023158C" w:rsidRDefault="00824EF7" w:rsidP="00824EF7">
      <w:pPr>
        <w:spacing w:after="120" w:line="240" w:lineRule="auto"/>
        <w:ind w:left="284" w:right="70"/>
        <w:jc w:val="both"/>
        <w:rPr>
          <w:rFonts w:ascii="Constantia" w:hAnsi="Constantia" w:cs="Palatino-Roman"/>
          <w:color w:val="000000" w:themeColor="text1"/>
          <w:sz w:val="21"/>
          <w:szCs w:val="21"/>
        </w:rPr>
      </w:pP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Hinter dem Schleier des Nichtwissens verbirgt sich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folgende Überlegung: Wenn jemand Verfassungsprinzipien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auszuwählen hat, über sich selbst aber nichts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weiß, somit auch nicht feststellen kann, welche der zur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Entscheidung stehenden Verfassungsprinzipien für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ihn vorteilhaft sein könnten, muss er notgedrungen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eine Wahl unter allgemeinen Gesichtspunkten vornehmen.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Durch den Schleier der Unwissenheit wird die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besondere Individualität zum Schweigen gebracht;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nur die Stimme des Allgemeinen, des „Für-jeden-gleichermaßen-Nützlichen“ ist zu vernehmen.</w:t>
      </w:r>
    </w:p>
    <w:p w:rsidR="00527CF6" w:rsidRPr="0023158C" w:rsidRDefault="00824EF7" w:rsidP="00824EF7">
      <w:pPr>
        <w:spacing w:after="120" w:line="240" w:lineRule="auto"/>
        <w:ind w:left="284" w:right="70"/>
        <w:jc w:val="both"/>
        <w:rPr>
          <w:rFonts w:ascii="Constantia" w:hAnsi="Constantia"/>
          <w:color w:val="000000" w:themeColor="text1"/>
        </w:rPr>
      </w:pP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Woran aber können sich die sich selbst unkenntlich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gewordenen Individuen bei ihren Überlegungen und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Entscheidungen orientieren? Nicht an dem, was für sie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und möglicherweise für niemanden sonst gut ist, denn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das können sie nicht mehr wissen. Sie können sich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ausschließlich an dem orientieren, was für jedermann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und daher auch für sie gut ist, gleichgültig wer sie im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Einzelnen sein mögen. Das heißt die Individuen orientieren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sich an Grundgütern, welche die institutionellen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und materiellen Bedingungen der erfolgreichen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Realisierung jeder individuellen Interessenstrategie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sind. Das Konzept der gesellschaftlichen Grundgüter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gibt den Individuen im Urzustand ein Instrument an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die Hand, um trotz der Unkenntnis der eigenen Fähigkeits-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und Interessensituation eine rationale, am Selbstinteresse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orientierte Entscheidung zu treffen. Jedes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Selbstinteresse betrachtet die zur Wahl stehenden Verteilungsprinzipien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unter der Perspektive der Grundgüterverteilung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und sucht das Verteilungsmuster aus,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das für es am günstigsten scheint; dieses ist aber dank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des Schleiers des Nichtwissens, der das Selbstinteresse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anonymisiert, das für jedermann günstigste und daher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von allen gleichermaßen gewollte Verteilungsmuster</w:t>
      </w:r>
      <w:r w:rsid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</w:t>
      </w:r>
      <w:r w:rsidRPr="0023158C">
        <w:rPr>
          <w:rFonts w:ascii="Constantia" w:hAnsi="Constantia" w:cs="Palatino-Roman"/>
          <w:color w:val="000000" w:themeColor="text1"/>
          <w:sz w:val="21"/>
          <w:szCs w:val="21"/>
        </w:rPr>
        <w:t>der Grundgüter.</w:t>
      </w:r>
      <w:r w:rsidR="002F70CE" w:rsidRPr="0023158C">
        <w:rPr>
          <w:rFonts w:ascii="Constantia" w:hAnsi="Constantia" w:cs="Palatino-Roman"/>
          <w:color w:val="000000" w:themeColor="text1"/>
          <w:sz w:val="21"/>
          <w:szCs w:val="21"/>
        </w:rPr>
        <w:t xml:space="preserve"> […]</w:t>
      </w:r>
    </w:p>
    <w:p w:rsidR="00527CF6" w:rsidRPr="0023158C" w:rsidRDefault="00527CF6" w:rsidP="004D3DAE">
      <w:pPr>
        <w:suppressLineNumbers/>
        <w:spacing w:after="0" w:line="240" w:lineRule="auto"/>
        <w:ind w:left="567"/>
        <w:jc w:val="right"/>
        <w:rPr>
          <w:rFonts w:ascii="Constantia" w:hAnsi="Constantia"/>
          <w:i/>
          <w:color w:val="000000" w:themeColor="text1"/>
          <w:sz w:val="20"/>
        </w:rPr>
      </w:pPr>
    </w:p>
    <w:p w:rsidR="000B5000" w:rsidRPr="0023158C" w:rsidRDefault="004D3DAE" w:rsidP="000B5000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23158C">
        <w:rPr>
          <w:rFonts w:ascii="Constantia" w:hAnsi="Constantia"/>
          <w:i/>
          <w:color w:val="000000" w:themeColor="text1"/>
          <w:sz w:val="16"/>
        </w:rPr>
        <w:t xml:space="preserve">Der vorstehende Text ist ein Auszug aus dem Journal für Philosophie „der blaue reiter". Den kompletten Text finden Sie unter: </w:t>
      </w:r>
      <w:r w:rsidR="0070317A">
        <w:rPr>
          <w:rFonts w:ascii="Constantia" w:hAnsi="Constantia"/>
          <w:i/>
          <w:color w:val="000000" w:themeColor="text1"/>
          <w:sz w:val="16"/>
        </w:rPr>
        <w:t>Wolfgang Kersting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: </w:t>
      </w:r>
      <w:r w:rsidR="0070317A">
        <w:rPr>
          <w:rFonts w:ascii="Constantia" w:hAnsi="Constantia"/>
          <w:i/>
          <w:color w:val="000000" w:themeColor="text1"/>
          <w:sz w:val="16"/>
        </w:rPr>
        <w:t xml:space="preserve">Vertrag und Gerechtigkeit. 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In: der blaue reiter, Journal für Philosophie. </w:t>
      </w:r>
      <w:r w:rsidR="0070317A">
        <w:rPr>
          <w:rFonts w:ascii="Constantia" w:hAnsi="Constantia"/>
          <w:i/>
          <w:color w:val="000000" w:themeColor="text1"/>
          <w:sz w:val="16"/>
        </w:rPr>
        <w:t>Was ist gerecht? (Ausgabe 19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), der </w:t>
      </w:r>
      <w:r w:rsidR="004D549A" w:rsidRPr="0023158C">
        <w:rPr>
          <w:rFonts w:ascii="Constantia" w:hAnsi="Constantia"/>
          <w:i/>
          <w:color w:val="000000" w:themeColor="text1"/>
          <w:sz w:val="16"/>
        </w:rPr>
        <w:t>bl</w:t>
      </w:r>
      <w:r w:rsidR="0009219D">
        <w:rPr>
          <w:rFonts w:ascii="Constantia" w:hAnsi="Constantia"/>
          <w:i/>
          <w:color w:val="000000" w:themeColor="text1"/>
          <w:sz w:val="16"/>
        </w:rPr>
        <w:t>aue reiter</w:t>
      </w:r>
      <w:r w:rsidR="004D549A" w:rsidRPr="0023158C">
        <w:rPr>
          <w:rFonts w:ascii="Constantia" w:hAnsi="Constantia"/>
          <w:i/>
          <w:color w:val="000000" w:themeColor="text1"/>
          <w:sz w:val="16"/>
        </w:rPr>
        <w:t xml:space="preserve"> Verlag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 für Philosophie, </w:t>
      </w:r>
      <w:r w:rsidR="0070317A">
        <w:rPr>
          <w:rFonts w:ascii="Constantia" w:hAnsi="Constantia"/>
          <w:i/>
          <w:color w:val="000000" w:themeColor="text1"/>
          <w:sz w:val="16"/>
        </w:rPr>
        <w:t>Stuttgart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 </w:t>
      </w:r>
      <w:r w:rsidR="0070317A">
        <w:rPr>
          <w:rFonts w:ascii="Constantia" w:hAnsi="Constantia"/>
          <w:i/>
          <w:color w:val="000000" w:themeColor="text1"/>
          <w:sz w:val="16"/>
        </w:rPr>
        <w:t>2004, Seite 22</w:t>
      </w:r>
      <w:r w:rsidRPr="0023158C">
        <w:rPr>
          <w:rFonts w:ascii="Constantia" w:hAnsi="Constantia"/>
          <w:i/>
          <w:color w:val="000000" w:themeColor="text1"/>
          <w:sz w:val="16"/>
        </w:rPr>
        <w:t xml:space="preserve">, </w:t>
      </w:r>
      <w:r w:rsidR="0070317A" w:rsidRPr="0070317A">
        <w:rPr>
          <w:rFonts w:ascii="Constantia" w:hAnsi="Constantia"/>
          <w:i/>
          <w:color w:val="000000" w:themeColor="text1"/>
          <w:sz w:val="16"/>
        </w:rPr>
        <w:t>ISBN: 978-3-933722-10-2</w:t>
      </w:r>
    </w:p>
    <w:p w:rsidR="00D90068" w:rsidRPr="0023158C" w:rsidRDefault="00CF4082" w:rsidP="00AB00AD">
      <w:pPr>
        <w:suppressLineNumbers/>
        <w:ind w:left="567" w:right="-1"/>
        <w:jc w:val="right"/>
        <w:rPr>
          <w:rFonts w:ascii="Constantia" w:hAnsi="Constantia"/>
          <w:i/>
          <w:color w:val="000000" w:themeColor="text1"/>
          <w:sz w:val="16"/>
        </w:rPr>
      </w:pPr>
      <w:r w:rsidRPr="0023158C">
        <w:rPr>
          <w:rFonts w:ascii="Nirmala UI" w:hAnsi="Nirmala UI" w:cs="Nirmala UI"/>
          <w:noProof/>
          <w:color w:val="000000" w:themeColor="text1"/>
          <w:sz w:val="18"/>
          <w:lang w:eastAsia="de-DE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356235</wp:posOffset>
                </wp:positionV>
                <wp:extent cx="3114675" cy="3886200"/>
                <wp:effectExtent l="0" t="0" r="28575" b="19050"/>
                <wp:wrapTight wrapText="largest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3886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CF6" w:rsidRPr="00480DE9" w:rsidRDefault="00527CF6" w:rsidP="0021618B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line="240" w:lineRule="auto"/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</w:pPr>
                            <w:r w:rsidRPr="00480DE9">
                              <w:rPr>
                                <w:rFonts w:ascii="Nirmala UI" w:hAnsi="Nirmala UI" w:cs="Nirmala UI"/>
                                <w:b/>
                                <w:szCs w:val="19"/>
                              </w:rPr>
                              <w:t>Arbeitsaufträge</w:t>
                            </w:r>
                          </w:p>
                          <w:p w:rsidR="00527CF6" w:rsidRPr="002F70CE" w:rsidRDefault="00FE3501" w:rsidP="0021618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Fassen Sie Rawls‘ Prinzipien der Gerechtigkeit</w:t>
                            </w:r>
                            <w:r w:rsidR="0021618B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zusammen und erklären Sie den „Schleier der Unwissenheit“.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2F70CE" w:rsidRDefault="0021618B" w:rsidP="0021618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Spielen Sie den </w:t>
                            </w:r>
                            <w:r w:rsidR="001D2A8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sogenannten „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Urzustand</w:t>
                            </w:r>
                            <w:r w:rsidR="001D2A8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“ (Z.52)</w:t>
                            </w: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nach</w:t>
                            </w:r>
                            <w:r w:rsidR="00801DC9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: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1D2A87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Wie sieht eine gerechte Gesellschaft Ihrer Ansicht nach aus? Wenden Sie dafür in Vierer-Gruppen die Placemat-Methode an und vergleichen Sie Ihre Ergebnisse mit denen der anderen Gruppen. Begründen Sie Ihre Entscheidungen und definieren Sie einen gemeinsamen Gerechtigkeitsbegriff.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527CF6" w:rsidRPr="00480DE9" w:rsidRDefault="001D2A87" w:rsidP="0021618B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ind w:left="0" w:firstLine="0"/>
                              <w:contextualSpacing w:val="0"/>
                              <w:jc w:val="both"/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>Prüfen Sie die Methode von John Rawls: Gibt es Beispiele, in denen nach der Lüftung des Schleiers trotzdem Ungerechtigkeit herrscht? Nennen und diskutieren Sie diese.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(Anforderungsbereich III</w:t>
                            </w:r>
                            <w:r w:rsidR="00480DE9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*</w:t>
                            </w:r>
                            <w:r w:rsidR="00527CF6" w:rsidRPr="002F70CE">
                              <w:rPr>
                                <w:rFonts w:ascii="Nirmala UI" w:hAnsi="Nirmala UI" w:cs="Nirmala UI"/>
                                <w:i/>
                                <w:sz w:val="18"/>
                                <w:szCs w:val="19"/>
                              </w:rPr>
                              <w:t>)</w:t>
                            </w:r>
                          </w:p>
                          <w:p w:rsidR="00480DE9" w:rsidRPr="001532FD" w:rsidRDefault="00480DE9" w:rsidP="001532FD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Nirmala UI" w:hAnsi="Nirmala UI" w:cs="Nirmala UI"/>
                                <w:sz w:val="15"/>
                                <w:szCs w:val="15"/>
                              </w:rPr>
                            </w:pPr>
                          </w:p>
                          <w:p w:rsidR="001532FD" w:rsidRPr="001532FD" w:rsidRDefault="00480DE9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* Anforderungsbereiche I-III der KMK-Standards: siehe Einheitliche Prüfungsanforderungen in der Abiturprüfung Ethik, 2006</w:t>
                            </w:r>
                            <w:r w:rsidR="00CA3E83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, S.10f.</w:t>
                            </w:r>
                            <w:r w:rsidR="004D3DAE"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480DE9" w:rsidRPr="001532FD" w:rsidRDefault="004D3DAE" w:rsidP="004D3DAE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after="120" w:line="240" w:lineRule="auto"/>
                              <w:jc w:val="right"/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</w:pPr>
                            <w:r w:rsidRPr="001532FD">
                              <w:rPr>
                                <w:rFonts w:ascii="Nirmala UI" w:hAnsi="Nirmala UI" w:cs="Nirmala UI"/>
                                <w:i/>
                                <w:sz w:val="15"/>
                                <w:szCs w:val="15"/>
                              </w:rPr>
                              <w:t>(https://www.kmk.org/fileadmin/veroeffentlichungen_beschluesse/1989/1989_12_01-EPA-Ethik.pdf)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8" style="position:absolute;left:0;text-align:left;margin-left:0;margin-top:28.05pt;width:245.25pt;height:306pt;z-index:-25165516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" fillcolor="white [3201]" strokecolor="#bfbfbf [2412]" strokeweight="1.5pt">
                <v:textbox inset="4mm,4mm,4mm,4mm">
                  <w:txbxContent>
                    <w:p w:rsidR="00527CF6" w:rsidRPr="00480DE9" w:rsidRDefault="00527CF6" w:rsidP="0021618B">
                      <w:pPr>
                        <w:suppressLineNumbers/>
                        <w:tabs>
                          <w:tab w:val="left" w:pos="284"/>
                        </w:tabs>
                        <w:spacing w:line="240" w:lineRule="auto"/>
                        <w:rPr>
                          <w:rFonts w:ascii="Nirmala UI" w:hAnsi="Nirmala UI" w:cs="Nirmala UI"/>
                          <w:b/>
                          <w:szCs w:val="19"/>
                        </w:rPr>
                      </w:pPr>
                      <w:r w:rsidRPr="00480DE9">
                        <w:rPr>
                          <w:rFonts w:ascii="Nirmala UI" w:hAnsi="Nirmala UI" w:cs="Nirmala UI"/>
                          <w:b/>
                          <w:szCs w:val="19"/>
                        </w:rPr>
                        <w:t>Arbeitsaufträge</w:t>
                      </w:r>
                    </w:p>
                    <w:p w:rsidR="00527CF6" w:rsidRPr="002F70CE" w:rsidRDefault="00FE3501" w:rsidP="0021618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Fassen Sie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Rawls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‘ Prinzipien der Gerechtigkeit</w:t>
                      </w:r>
                      <w:r w:rsidR="0021618B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zusammen und erklären Sie den „Schleier der Unwissenheit“.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2F70CE" w:rsidRDefault="0021618B" w:rsidP="0021618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Spielen Sie den </w:t>
                      </w:r>
                      <w:r w:rsidR="001D2A8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sogenannten „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Urzustand</w:t>
                      </w:r>
                      <w:r w:rsidR="001D2A8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“ (Z.52)</w:t>
                      </w: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nach</w:t>
                      </w:r>
                      <w:r w:rsidR="00801DC9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: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 w:rsidR="001D2A8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Wie sieht eine gerechte Gesellschaft Ihrer Ansicht nach aus? Wenden Sie dafür in Vierer-Gruppen die </w:t>
                      </w:r>
                      <w:proofErr w:type="spellStart"/>
                      <w:r w:rsidR="001D2A8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Placemat</w:t>
                      </w:r>
                      <w:proofErr w:type="spellEnd"/>
                      <w:r w:rsidR="001D2A87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-Methode an und vergleichen Sie Ihre Ergebnisse mit denen der anderen Gruppen. Begründen Sie Ihre Entscheidungen und definieren Sie einen gemeinsamen Gerechtigkeitsbegriff.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527CF6" w:rsidRPr="00480DE9" w:rsidRDefault="001D2A87" w:rsidP="0021618B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ind w:left="0" w:firstLine="0"/>
                        <w:contextualSpacing w:val="0"/>
                        <w:jc w:val="both"/>
                        <w:rPr>
                          <w:rFonts w:ascii="Nirmala UI" w:hAnsi="Nirmala UI" w:cs="Nirmala UI"/>
                          <w:sz w:val="18"/>
                          <w:szCs w:val="19"/>
                        </w:rPr>
                      </w:pPr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Prüfen Sie die Methode von John </w:t>
                      </w:r>
                      <w:proofErr w:type="spellStart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Rawls</w:t>
                      </w:r>
                      <w:proofErr w:type="spellEnd"/>
                      <w:r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>: Gibt es Beispiele, in denen nach der Lüftung des Schleiers trotzdem Ungerechtigkeit herrscht? Nennen und diskutieren Sie diese.</w:t>
                      </w:r>
                      <w:r w:rsidR="00527CF6" w:rsidRPr="002F70CE">
                        <w:rPr>
                          <w:rFonts w:ascii="Nirmala UI" w:hAnsi="Nirmala UI" w:cs="Nirmala UI"/>
                          <w:sz w:val="18"/>
                          <w:szCs w:val="19"/>
                        </w:rPr>
                        <w:t xml:space="preserve"> 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(Anforderungsbereich III</w:t>
                      </w:r>
                      <w:r w:rsidR="00480DE9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*</w:t>
                      </w:r>
                      <w:r w:rsidR="00527CF6" w:rsidRPr="002F70CE">
                        <w:rPr>
                          <w:rFonts w:ascii="Nirmala UI" w:hAnsi="Nirmala UI" w:cs="Nirmala UI"/>
                          <w:i/>
                          <w:sz w:val="18"/>
                          <w:szCs w:val="19"/>
                        </w:rPr>
                        <w:t>)</w:t>
                      </w:r>
                    </w:p>
                    <w:p w:rsidR="00480DE9" w:rsidRPr="001532FD" w:rsidRDefault="00480DE9" w:rsidP="001532FD">
                      <w:pPr>
                        <w:suppressLineNumbers/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Nirmala UI" w:hAnsi="Nirmala UI" w:cs="Nirmala UI"/>
                          <w:sz w:val="15"/>
                          <w:szCs w:val="15"/>
                        </w:rPr>
                      </w:pPr>
                    </w:p>
                    <w:p w:rsidR="001532FD" w:rsidRPr="001532FD" w:rsidRDefault="00480DE9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* Anforderungsbereiche I-III der KMK-Standards: siehe Einheitliche Prüfungsanforderungen in der Abiturprüfung Ethik, 2006</w:t>
                      </w:r>
                      <w:r w:rsidR="00CA3E83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, S.10f.</w:t>
                      </w:r>
                      <w:r w:rsidR="004D3DAE"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 xml:space="preserve"> </w:t>
                      </w:r>
                    </w:p>
                    <w:p w:rsidR="00480DE9" w:rsidRPr="001532FD" w:rsidRDefault="004D3DAE" w:rsidP="004D3DAE">
                      <w:pPr>
                        <w:suppressLineNumbers/>
                        <w:tabs>
                          <w:tab w:val="left" w:pos="284"/>
                        </w:tabs>
                        <w:spacing w:after="120" w:line="240" w:lineRule="auto"/>
                        <w:jc w:val="right"/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</w:pPr>
                      <w:r w:rsidRPr="001532FD">
                        <w:rPr>
                          <w:rFonts w:ascii="Nirmala UI" w:hAnsi="Nirmala UI" w:cs="Nirmala UI"/>
                          <w:i/>
                          <w:sz w:val="15"/>
                          <w:szCs w:val="15"/>
                        </w:rPr>
                        <w:t>(https://www.kmk.org/fileadmin/veroeffentlichungen_beschluesse/1989/1989_12_01-EPA-Ethik.pdf)</w:t>
                      </w:r>
                    </w:p>
                  </w:txbxContent>
                </v:textbox>
                <w10:wrap type="tight" side="largest"/>
              </v:rect>
            </w:pict>
          </mc:Fallback>
        </mc:AlternateContent>
      </w:r>
      <w:r w:rsidR="00AB00AD" w:rsidRPr="0023158C">
        <w:rPr>
          <w:rFonts w:ascii="Constantia" w:hAnsi="Constantia"/>
          <w:i/>
          <w:color w:val="000000" w:themeColor="text1"/>
          <w:sz w:val="16"/>
        </w:rPr>
        <w:t>Lieferbar über jede Buchhandlung (Barsortiment) oder direkt über www.derblauereiter.de</w:t>
      </w:r>
    </w:p>
    <w:sectPr w:rsidR="00D90068" w:rsidRPr="0023158C" w:rsidSect="00E83E70">
      <w:headerReference w:type="default" r:id="rId9"/>
      <w:pgSz w:w="11906" w:h="16838"/>
      <w:pgMar w:top="234" w:right="567" w:bottom="1135" w:left="851" w:header="286" w:footer="283" w:gutter="0"/>
      <w:lnNumType w:countBy="5" w:distance="6" w:restart="continuous"/>
      <w:cols w:num="2" w:space="708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BE" w:rsidRDefault="001C39BE" w:rsidP="00273E9A">
      <w:pPr>
        <w:spacing w:after="0" w:line="240" w:lineRule="auto"/>
      </w:pPr>
      <w:r>
        <w:separator/>
      </w:r>
    </w:p>
  </w:endnote>
  <w:endnote w:type="continuationSeparator" w:id="0">
    <w:p w:rsidR="001C39BE" w:rsidRDefault="001C39BE" w:rsidP="0027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BE" w:rsidRDefault="001C39BE" w:rsidP="00273E9A">
      <w:pPr>
        <w:spacing w:after="0" w:line="240" w:lineRule="auto"/>
      </w:pPr>
      <w:r>
        <w:separator/>
      </w:r>
    </w:p>
  </w:footnote>
  <w:footnote w:type="continuationSeparator" w:id="0">
    <w:p w:rsidR="001C39BE" w:rsidRDefault="001C39BE" w:rsidP="0027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211" w:type="dxa"/>
      <w:tblInd w:w="279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9"/>
      <w:gridCol w:w="3024"/>
      <w:gridCol w:w="3024"/>
      <w:gridCol w:w="3024"/>
    </w:tblGrid>
    <w:tr w:rsidR="003F6A9D" w:rsidTr="004B60D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9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 w:val="restart"/>
          <w:tcBorders>
            <w:top w:val="nil"/>
            <w:left w:val="nil"/>
            <w:right w:val="single" w:sz="12" w:space="0" w:color="BFBFBF" w:themeColor="background1" w:themeShade="BF"/>
          </w:tcBorders>
        </w:tcPr>
        <w:p w:rsidR="00AC6FDC" w:rsidRPr="007D088D" w:rsidRDefault="00626E68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Nirmala UI" w:hAnsi="Nirmala UI" w:cs="Nirmala UI"/>
              <w:b w:val="0"/>
              <w:sz w:val="2"/>
            </w:rPr>
          </w:pPr>
          <w:r w:rsidRPr="00B43014">
            <w:rPr>
              <w:noProof/>
              <w:lang w:eastAsia="de-DE"/>
            </w:rPr>
            <w:drawing>
              <wp:inline distT="0" distB="0" distL="0" distR="0" wp14:anchorId="29D3C631" wp14:editId="3C6714ED">
                <wp:extent cx="400050" cy="669868"/>
                <wp:effectExtent l="0" t="0" r="0" b="0"/>
                <wp:docPr id="5" name="Grafik 5" descr="C:\ANNA\der blaue reiter\Lehrerportal\logo_db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ANNA\der blaue reiter\Lehrerportal\logo_db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69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Unterrichtseinheit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bCs w:val="0"/>
              <w:sz w:val="20"/>
              <w:szCs w:val="20"/>
            </w:rPr>
          </w:pPr>
          <w:r w:rsidRPr="00AC6FDC">
            <w:rPr>
              <w:rFonts w:ascii="Nirmala UI" w:hAnsi="Nirmala UI" w:cs="Nirmala UI"/>
              <w:bCs w:val="0"/>
              <w:sz w:val="20"/>
              <w:szCs w:val="20"/>
            </w:rPr>
            <w:t>Thema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AC6FDC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 w:rsidRPr="00AC6FDC">
            <w:rPr>
              <w:rFonts w:ascii="Nirmala UI" w:hAnsi="Nirmala UI" w:cs="Nirmala UI"/>
              <w:sz w:val="20"/>
              <w:szCs w:val="20"/>
            </w:rPr>
            <w:t>Stundenthema</w:t>
          </w:r>
        </w:p>
      </w:tc>
    </w:tr>
    <w:tr w:rsidR="003F6A9D" w:rsidTr="004B60D0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3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139" w:type="dxa"/>
          <w:vMerge/>
          <w:tcBorders>
            <w:left w:val="nil"/>
            <w:bottom w:val="nil"/>
            <w:right w:val="single" w:sz="12" w:space="0" w:color="BFBFBF" w:themeColor="background1" w:themeShade="BF"/>
          </w:tcBorders>
        </w:tcPr>
        <w:p w:rsidR="00AC6FDC" w:rsidRPr="00527CF6" w:rsidRDefault="00AC6FDC" w:rsidP="00B549BE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rPr>
              <w:rFonts w:ascii="Constantia" w:hAnsi="Constantia"/>
              <w:b w:val="0"/>
              <w:noProof/>
              <w:lang w:eastAsia="de-DE"/>
            </w:rPr>
          </w:pP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611330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bCs/>
              <w:sz w:val="20"/>
              <w:szCs w:val="20"/>
            </w:rPr>
          </w:pPr>
          <w:r>
            <w:rPr>
              <w:rFonts w:ascii="Nirmala UI" w:hAnsi="Nirmala UI" w:cs="Nirmala UI"/>
              <w:bCs/>
              <w:sz w:val="20"/>
              <w:szCs w:val="20"/>
            </w:rPr>
            <w:t>Recht und Moral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611330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Gerechtigkeitstheorien</w:t>
          </w:r>
        </w:p>
      </w:tc>
      <w:tc>
        <w:tcPr>
          <w:tcW w:w="3024" w:type="dxa"/>
          <w:tcBorders>
            <w:top w:val="single" w:sz="12" w:space="0" w:color="BFBFBF" w:themeColor="background1" w:themeShade="BF"/>
            <w:left w:val="single" w:sz="12" w:space="0" w:color="BFBFBF" w:themeColor="background1" w:themeShade="BF"/>
            <w:bottom w:val="single" w:sz="12" w:space="0" w:color="BFBFBF" w:themeColor="background1" w:themeShade="BF"/>
            <w:right w:val="single" w:sz="12" w:space="0" w:color="BFBFBF" w:themeColor="background1" w:themeShade="BF"/>
          </w:tcBorders>
          <w:shd w:val="clear" w:color="auto" w:fill="FFFFFF" w:themeFill="background1"/>
          <w:vAlign w:val="center"/>
        </w:tcPr>
        <w:p w:rsidR="00AC6FDC" w:rsidRPr="00AC6FDC" w:rsidRDefault="00611330" w:rsidP="00AC6FDC">
          <w:pPr>
            <w:pStyle w:val="Kopfzeile"/>
            <w:tabs>
              <w:tab w:val="clear" w:pos="4536"/>
              <w:tab w:val="clear" w:pos="9072"/>
              <w:tab w:val="center" w:pos="5103"/>
              <w:tab w:val="right" w:pos="10773"/>
            </w:tabs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Nirmala UI" w:hAnsi="Nirmala UI" w:cs="Nirmala UI"/>
              <w:sz w:val="20"/>
              <w:szCs w:val="20"/>
            </w:rPr>
          </w:pPr>
          <w:r>
            <w:rPr>
              <w:rFonts w:ascii="Nirmala UI" w:hAnsi="Nirmala UI" w:cs="Nirmala UI"/>
              <w:sz w:val="20"/>
              <w:szCs w:val="20"/>
            </w:rPr>
            <w:t>Rawls‘ Schleier der Unwissenheit</w:t>
          </w:r>
        </w:p>
      </w:tc>
    </w:tr>
  </w:tbl>
  <w:p w:rsidR="00E04E18" w:rsidRPr="00E04E18" w:rsidRDefault="00E04E18" w:rsidP="00B549BE">
    <w:pPr>
      <w:pStyle w:val="Kopfzeile"/>
      <w:tabs>
        <w:tab w:val="clear" w:pos="4536"/>
        <w:tab w:val="clear" w:pos="9072"/>
        <w:tab w:val="center" w:pos="5103"/>
        <w:tab w:val="right" w:pos="10773"/>
      </w:tabs>
      <w:rPr>
        <w:rFonts w:ascii="Nirmala UI" w:hAnsi="Nirmala UI" w:cs="Nirmala UI"/>
        <w:b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57B61"/>
    <w:multiLevelType w:val="hybridMultilevel"/>
    <w:tmpl w:val="82FC712A"/>
    <w:lvl w:ilvl="0" w:tplc="BED233C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9A"/>
    <w:rsid w:val="0009219D"/>
    <w:rsid w:val="000B5000"/>
    <w:rsid w:val="000D45BA"/>
    <w:rsid w:val="00115D62"/>
    <w:rsid w:val="00123239"/>
    <w:rsid w:val="001532FD"/>
    <w:rsid w:val="00156973"/>
    <w:rsid w:val="0016431E"/>
    <w:rsid w:val="0016635A"/>
    <w:rsid w:val="0017269D"/>
    <w:rsid w:val="001A3FB9"/>
    <w:rsid w:val="001A7BD5"/>
    <w:rsid w:val="001A7BE0"/>
    <w:rsid w:val="001C39BE"/>
    <w:rsid w:val="001D2A87"/>
    <w:rsid w:val="0020202C"/>
    <w:rsid w:val="0021618B"/>
    <w:rsid w:val="0023158C"/>
    <w:rsid w:val="00257FCD"/>
    <w:rsid w:val="00273E9A"/>
    <w:rsid w:val="00287D41"/>
    <w:rsid w:val="002A450E"/>
    <w:rsid w:val="002F70CE"/>
    <w:rsid w:val="00373E27"/>
    <w:rsid w:val="0039777B"/>
    <w:rsid w:val="003F6A9D"/>
    <w:rsid w:val="00480DE9"/>
    <w:rsid w:val="004B60D0"/>
    <w:rsid w:val="004D05B4"/>
    <w:rsid w:val="004D26D9"/>
    <w:rsid w:val="004D3DAE"/>
    <w:rsid w:val="004D549A"/>
    <w:rsid w:val="004E2383"/>
    <w:rsid w:val="004F3855"/>
    <w:rsid w:val="00516874"/>
    <w:rsid w:val="00527CF6"/>
    <w:rsid w:val="00575E76"/>
    <w:rsid w:val="0061016D"/>
    <w:rsid w:val="00611330"/>
    <w:rsid w:val="00626E68"/>
    <w:rsid w:val="00645605"/>
    <w:rsid w:val="006928AB"/>
    <w:rsid w:val="00693EC2"/>
    <w:rsid w:val="00694CE5"/>
    <w:rsid w:val="006C2809"/>
    <w:rsid w:val="006E3788"/>
    <w:rsid w:val="0070317A"/>
    <w:rsid w:val="00746C15"/>
    <w:rsid w:val="007B21E0"/>
    <w:rsid w:val="007D088D"/>
    <w:rsid w:val="00801DC9"/>
    <w:rsid w:val="00813431"/>
    <w:rsid w:val="00824EF7"/>
    <w:rsid w:val="00842782"/>
    <w:rsid w:val="008525BA"/>
    <w:rsid w:val="00911B1F"/>
    <w:rsid w:val="00927079"/>
    <w:rsid w:val="00932620"/>
    <w:rsid w:val="00A06073"/>
    <w:rsid w:val="00A25E6C"/>
    <w:rsid w:val="00AB00AD"/>
    <w:rsid w:val="00AB7E9D"/>
    <w:rsid w:val="00AC6FDC"/>
    <w:rsid w:val="00AD23DB"/>
    <w:rsid w:val="00B0615B"/>
    <w:rsid w:val="00B549BE"/>
    <w:rsid w:val="00B777EA"/>
    <w:rsid w:val="00BB4777"/>
    <w:rsid w:val="00BE06EC"/>
    <w:rsid w:val="00BE16F3"/>
    <w:rsid w:val="00BF0F74"/>
    <w:rsid w:val="00C60C62"/>
    <w:rsid w:val="00C663A2"/>
    <w:rsid w:val="00CA3E83"/>
    <w:rsid w:val="00CE096B"/>
    <w:rsid w:val="00CF4082"/>
    <w:rsid w:val="00D57BC4"/>
    <w:rsid w:val="00D70B67"/>
    <w:rsid w:val="00D81132"/>
    <w:rsid w:val="00D90068"/>
    <w:rsid w:val="00D90569"/>
    <w:rsid w:val="00DD0A6F"/>
    <w:rsid w:val="00E04E18"/>
    <w:rsid w:val="00E5122B"/>
    <w:rsid w:val="00E565BD"/>
    <w:rsid w:val="00E83E70"/>
    <w:rsid w:val="00EC24BB"/>
    <w:rsid w:val="00EE3167"/>
    <w:rsid w:val="00F0545F"/>
    <w:rsid w:val="00F326D1"/>
    <w:rsid w:val="00F43E94"/>
    <w:rsid w:val="00F569C2"/>
    <w:rsid w:val="00F64BA5"/>
    <w:rsid w:val="00F67FE5"/>
    <w:rsid w:val="00F743EB"/>
    <w:rsid w:val="00FA284C"/>
    <w:rsid w:val="00FD3517"/>
    <w:rsid w:val="00FE3501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9264E-32F2-4C64-BF36-621982C2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9A"/>
  </w:style>
  <w:style w:type="paragraph" w:styleId="Fuzeile">
    <w:name w:val="footer"/>
    <w:basedOn w:val="Standard"/>
    <w:link w:val="FuzeileZchn"/>
    <w:uiPriority w:val="99"/>
    <w:unhideWhenUsed/>
    <w:rsid w:val="00273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9A"/>
  </w:style>
  <w:style w:type="character" w:styleId="Zeilennummer">
    <w:name w:val="line number"/>
    <w:basedOn w:val="Absatz-Standardschriftart"/>
    <w:uiPriority w:val="99"/>
    <w:semiHidden/>
    <w:unhideWhenUsed/>
    <w:rsid w:val="00E04E18"/>
    <w:rPr>
      <w:rFonts w:ascii="Constantia" w:hAnsi="Constantia"/>
      <w:sz w:val="20"/>
    </w:rPr>
  </w:style>
  <w:style w:type="paragraph" w:styleId="Listenabsatz">
    <w:name w:val="List Paragraph"/>
    <w:basedOn w:val="Standard"/>
    <w:uiPriority w:val="34"/>
    <w:qFormat/>
    <w:rsid w:val="001A3F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977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977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777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02C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C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C6F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FA6D2-0FE9-43DD-A965-7729D4E75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Unterrichtseinheit: Moralphilosophie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Unterrichtseinheit: Moralphilosophie</dc:title>
  <dc:subject/>
  <dc:creator>Anna Pegam</dc:creator>
  <cp:keywords/>
  <dc:description/>
  <cp:lastModifiedBy>Anna Pegam</cp:lastModifiedBy>
  <cp:revision>9</cp:revision>
  <cp:lastPrinted>2019-05-28T11:07:00Z</cp:lastPrinted>
  <dcterms:created xsi:type="dcterms:W3CDTF">2019-05-28T09:55:00Z</dcterms:created>
  <dcterms:modified xsi:type="dcterms:W3CDTF">2019-06-22T13:00:00Z</dcterms:modified>
</cp:coreProperties>
</file>