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F99" w:rsidRPr="00072F99" w:rsidRDefault="00156973" w:rsidP="00072F99">
      <w:pPr>
        <w:spacing w:after="120" w:line="240" w:lineRule="auto"/>
        <w:ind w:left="284" w:right="70"/>
        <w:jc w:val="both"/>
        <w:rPr>
          <w:rFonts w:ascii="Constantia" w:hAnsi="Constantia" w:cs="Palatino-Roman"/>
          <w:b/>
          <w:bCs/>
          <w:color w:val="000000" w:themeColor="text1"/>
        </w:rPr>
      </w:pPr>
      <w:r w:rsidRPr="009E3FB5">
        <w:rPr>
          <w:rFonts w:ascii="Constantia" w:hAnsi="Constantia"/>
          <w:b/>
          <w:noProof/>
          <w:color w:val="000000" w:themeColor="text1"/>
          <w:lang w:eastAsia="de-DE"/>
        </w:rPr>
        <mc:AlternateContent>
          <mc:Choice Requires="wps">
            <w:drawing>
              <wp:anchor distT="0" distB="107950" distL="114300" distR="114300" simplePos="0" relativeHeight="251663360" behindDoc="0" locked="0" layoutInCell="1" allowOverlap="1">
                <wp:simplePos x="0" y="0"/>
                <wp:positionH relativeFrom="margin">
                  <wp:posOffset>-102235</wp:posOffset>
                </wp:positionH>
                <wp:positionV relativeFrom="paragraph">
                  <wp:posOffset>107315</wp:posOffset>
                </wp:positionV>
                <wp:extent cx="6630670" cy="323850"/>
                <wp:effectExtent l="0" t="0" r="17780" b="1905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323850"/>
                        </a:xfrm>
                        <a:prstGeom prst="rect">
                          <a:avLst/>
                        </a:prstGeom>
                        <a:solidFill>
                          <a:srgbClr val="FFFFFF"/>
                        </a:solidFill>
                        <a:ln w="9525">
                          <a:solidFill>
                            <a:schemeClr val="bg1"/>
                          </a:solidFill>
                          <a:miter lim="800000"/>
                          <a:headEnd/>
                          <a:tailEnd/>
                        </a:ln>
                      </wps:spPr>
                      <wps:txbx>
                        <w:txbxContent>
                          <w:p w:rsidR="00156973" w:rsidRPr="0017269D" w:rsidRDefault="00DF152B" w:rsidP="00156973">
                            <w:pPr>
                              <w:suppressLineNumbers/>
                              <w:spacing w:after="120"/>
                              <w:ind w:left="284" w:right="70"/>
                              <w:jc w:val="both"/>
                              <w:rPr>
                                <w:rFonts w:ascii="Nirmala UI" w:hAnsi="Nirmala UI" w:cs="Nirmala UI"/>
                                <w:b/>
                                <w:color w:val="000000" w:themeColor="text1"/>
                                <w:sz w:val="24"/>
                              </w:rPr>
                            </w:pPr>
                            <w:r>
                              <w:rPr>
                                <w:rFonts w:ascii="Nirmala UI" w:hAnsi="Nirmala UI" w:cs="Nirmala UI"/>
                                <w:b/>
                                <w:color w:val="000000" w:themeColor="text1"/>
                                <w:sz w:val="28"/>
                              </w:rPr>
                              <w:t>Gerechtigkeit in der Gesellschaft</w:t>
                            </w:r>
                          </w:p>
                          <w:p w:rsidR="00156973" w:rsidRDefault="00156973"/>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8.05pt;margin-top:8.45pt;width:522.1pt;height:25.5pt;z-index:251663360;visibility:visible;mso-wrap-style:square;mso-width-percent:0;mso-height-percent:0;mso-wrap-distance-left:9pt;mso-wrap-distance-top:0;mso-wrap-distance-right:9pt;mso-wrap-distance-bottom:8.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" strokecolor="white [3212]">
                <v:textbox>
                  <w:txbxContent>
                    <w:p w:rsidR="00156973" w:rsidRPr="0017269D" w:rsidRDefault="00DF152B" w:rsidP="00156973">
                      <w:pPr>
                        <w:suppressLineNumbers/>
                        <w:spacing w:after="120"/>
                        <w:ind w:left="284" w:right="70"/>
                        <w:jc w:val="both"/>
                        <w:rPr>
                          <w:rFonts w:ascii="Nirmala UI" w:hAnsi="Nirmala UI" w:cs="Nirmala UI"/>
                          <w:b/>
                          <w:color w:val="000000" w:themeColor="text1"/>
                          <w:sz w:val="24"/>
                        </w:rPr>
                      </w:pPr>
                      <w:r>
                        <w:rPr>
                          <w:rFonts w:ascii="Nirmala UI" w:hAnsi="Nirmala UI" w:cs="Nirmala UI"/>
                          <w:b/>
                          <w:color w:val="000000" w:themeColor="text1"/>
                          <w:sz w:val="28"/>
                        </w:rPr>
                        <w:t>Gerechtigkeit in der Gesellschaft</w:t>
                      </w:r>
                    </w:p>
                    <w:p w:rsidR="00156973" w:rsidRDefault="00156973"/>
                  </w:txbxContent>
                </v:textbox>
                <w10:wrap type="square" anchorx="margin"/>
              </v:shape>
            </w:pict>
          </mc:Fallback>
        </mc:AlternateContent>
      </w:r>
      <w:r w:rsidR="00527CF6" w:rsidRPr="009E3FB5">
        <w:rPr>
          <w:rFonts w:ascii="Constantia" w:hAnsi="Constantia" w:cs="Palatino-Roman"/>
          <w:color w:val="000000" w:themeColor="text1"/>
        </w:rPr>
        <w:t>[…]</w:t>
      </w:r>
      <w:r w:rsidR="00072F99" w:rsidRPr="00072F99">
        <w:rPr>
          <w:rFonts w:ascii="Scala-Bold" w:hAnsi="Scala-Bold" w:cs="Scala-Bold"/>
          <w:b/>
          <w:bCs/>
          <w:sz w:val="20"/>
          <w:szCs w:val="20"/>
        </w:rPr>
        <w:t xml:space="preserve"> </w:t>
      </w:r>
      <w:r w:rsidR="00072F99" w:rsidRPr="00072F99">
        <w:rPr>
          <w:rFonts w:ascii="Constantia" w:hAnsi="Constantia" w:cs="Palatino-Roman"/>
          <w:b/>
          <w:bCs/>
          <w:color w:val="000000" w:themeColor="text1"/>
        </w:rPr>
        <w:t>Liegt es an den Umständen, ob sich jemand gerecht oder ungerecht</w:t>
      </w:r>
      <w:r w:rsidR="00072F99">
        <w:rPr>
          <w:rFonts w:ascii="Constantia" w:hAnsi="Constantia" w:cs="Palatino-Roman"/>
          <w:b/>
          <w:bCs/>
          <w:color w:val="000000" w:themeColor="text1"/>
        </w:rPr>
        <w:t xml:space="preserve"> </w:t>
      </w:r>
      <w:r w:rsidR="00072F99" w:rsidRPr="00072F99">
        <w:rPr>
          <w:rFonts w:ascii="Constantia" w:hAnsi="Constantia" w:cs="Palatino-Roman"/>
          <w:b/>
          <w:bCs/>
          <w:color w:val="000000" w:themeColor="text1"/>
        </w:rPr>
        <w:t>verhält, ob er sich dem Unrecht beugt oder nicht?</w:t>
      </w:r>
    </w:p>
    <w:p w:rsidR="00072F99" w:rsidRPr="00072F99" w:rsidRDefault="00072F99" w:rsidP="00072F99">
      <w:pPr>
        <w:spacing w:after="120" w:line="240" w:lineRule="auto"/>
        <w:ind w:left="284" w:right="70"/>
        <w:jc w:val="both"/>
        <w:rPr>
          <w:rFonts w:ascii="Constantia" w:hAnsi="Constantia" w:cs="Palatino-Roman"/>
          <w:color w:val="000000" w:themeColor="text1"/>
          <w:sz w:val="21"/>
          <w:szCs w:val="21"/>
        </w:rPr>
      </w:pPr>
      <w:r w:rsidRPr="00072F99">
        <w:rPr>
          <w:rFonts w:ascii="Constantia" w:hAnsi="Constantia" w:cs="Palatino-Roman"/>
          <w:color w:val="000000" w:themeColor="text1"/>
          <w:sz w:val="21"/>
          <w:szCs w:val="21"/>
        </w:rPr>
        <w:t>Es ist schwer für mich, auf diese Frage zu antworten, denn ich habe zu viele Menschen erlebt, die sich an Ohnmacht gewöhnt haben. Es gibt eine Normalität von Ohnmacht, die von Menschen unter anderem deshalb ertragen wird, weil sie einen Gewinn davon haben. Der Ohnmächtige ist nicht verantwortlich. Das ist auch der Grund, warum es mitten in freien Gesellschaften so viele Menschen gibt, die an ihrem Status als Bürger gar nicht interessiert sind, denen es reicht, Konsument zu sein. Menschen richten sich in Ohnmacht ein und leben mit einem eingesperrten Verlangen nach Gerechtigkeit. Sie verfolgen ein uraltes Menschheitsprogramm, wonach die Gehorsamen aufsteigen in die Kreise der Arrivierten. Es gibt gerade in formierten und total durchherrschten Gesellschaften so etwas wie die Zweitrangigkeit ursprünglicher Lebensthemen, zu denen die Gerechtigkeit gehört. In Bezug auf die deutsche Geschichte habe ich früher gedacht, es sei eine nationale Prägung. Unser kollektives Ich ist stärker auf Gehorsam geeicht. Inzwischen denke ich, dass es eine anthropologische Konstante gibt, das heißt eine dem Menschen als Menschen eignende Eigenschaft, die wir als Erschrecken vor der umfassenden Eigenverantwortung definieren können. Sie ist mit der Furcht verbunden, in das Stadium der Selbstbestimmtheit einzutreten.</w:t>
      </w:r>
    </w:p>
    <w:p w:rsidR="00072F99" w:rsidRPr="00072F99" w:rsidRDefault="00072F99" w:rsidP="00072F99">
      <w:pPr>
        <w:spacing w:after="120" w:line="240" w:lineRule="auto"/>
        <w:ind w:left="284" w:right="70"/>
        <w:jc w:val="both"/>
        <w:rPr>
          <w:rFonts w:ascii="Constantia" w:hAnsi="Constantia" w:cs="Palatino-Roman"/>
          <w:b/>
          <w:bCs/>
          <w:color w:val="000000" w:themeColor="text1"/>
          <w:sz w:val="21"/>
          <w:szCs w:val="21"/>
        </w:rPr>
      </w:pPr>
      <w:r w:rsidRPr="00072F99">
        <w:rPr>
          <w:rFonts w:ascii="Constantia" w:hAnsi="Constantia" w:cs="Palatino-Roman"/>
          <w:b/>
          <w:bCs/>
          <w:color w:val="000000" w:themeColor="text1"/>
          <w:sz w:val="21"/>
          <w:szCs w:val="21"/>
        </w:rPr>
        <w:t>Platon schreibt, dass, wer sich nicht für das Gemeinwesen engagiert, ein unnützer Bürger ist. Müsste man vor diesem Verdikt nicht sagen, dass ein Großteil der Deutschen unnütz ist?</w:t>
      </w:r>
    </w:p>
    <w:p w:rsidR="009E3FB5" w:rsidRPr="00072F99" w:rsidRDefault="00072F99" w:rsidP="00072F99">
      <w:pPr>
        <w:spacing w:after="120" w:line="240" w:lineRule="auto"/>
        <w:ind w:left="284" w:right="70"/>
        <w:jc w:val="both"/>
        <w:rPr>
          <w:rFonts w:ascii="Constantia" w:hAnsi="Constantia"/>
          <w:color w:val="000000" w:themeColor="text1"/>
          <w:sz w:val="21"/>
          <w:szCs w:val="21"/>
        </w:rPr>
      </w:pPr>
      <w:r w:rsidRPr="00072F99">
        <w:rPr>
          <w:rFonts w:ascii="Constantia" w:hAnsi="Constantia" w:cs="Palatino-Roman"/>
          <w:color w:val="000000" w:themeColor="text1"/>
          <w:sz w:val="21"/>
          <w:szCs w:val="21"/>
        </w:rPr>
        <w:t>Klar, aus dem Gesichtspunkt aufgeklärter Demokraten müssen wir das sagen. Da tauschen Menschen ihre Möglichkeit und Fähigkeit ermächtigt zu sein in freiwillige Ohnmacht um, sie mutieren vom Bürger zum Verbraucher. Wenn wir jetzt nicht in der christlichen Tradition stünden, würden wir sie zu Sklaven erklären, weil sie als Bürger unnütz sind. In Wirklichkeit glauben wir natürlich, dass ihnen die Würde autonomer Subjekte eigen ist, und wenn sie sich freiwillig in das Stadium von beherrschten oder manipulierten Objekten begeben, dann trauern wir um sie und versuchen sie wieder zu gewinnen. Notfalls ertragen wir ihre Existenz als Appell an uns: Willst du auch so leben? Offensichtlich gibt es jede Menge Menschen, die keiner kommandiert und die dennoch in Ketten gehen. Keiner von ihnen hat Lust, die Mühen der Partizipation auf sich zu nehmen. Die meisten sehnen sich nach dem aufgeklärten Fürsten.</w:t>
      </w:r>
      <w:r w:rsidR="00746C15" w:rsidRPr="00072F99">
        <w:rPr>
          <w:rFonts w:ascii="Constantia" w:hAnsi="Constantia" w:cs="Palatino-Roman"/>
          <w:noProof/>
          <w:color w:val="000000" w:themeColor="text1"/>
          <w:sz w:val="21"/>
          <w:szCs w:val="21"/>
          <w:lang w:eastAsia="de-DE"/>
        </w:rPr>
        <mc:AlternateContent>
          <mc:Choice Requires="wps">
            <w:drawing>
              <wp:anchor distT="0" distB="0" distL="114300" distR="114300" simplePos="0" relativeHeight="251667456" behindDoc="0" locked="0" layoutInCell="1" allowOverlap="1" wp14:anchorId="7A79D487" wp14:editId="2EDB46A8">
                <wp:simplePos x="0" y="0"/>
                <wp:positionH relativeFrom="margin">
                  <wp:posOffset>-85725</wp:posOffset>
                </wp:positionH>
                <wp:positionV relativeFrom="page">
                  <wp:posOffset>10108565</wp:posOffset>
                </wp:positionV>
                <wp:extent cx="6812280" cy="47879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6812280"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6C15"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MS Gothic" w:eastAsia="MS Gothic" w:hAnsi="MS Gothic" w:cs="MS Gothic" w:hint="eastAsia"/>
                                <w:sz w:val="14"/>
                              </w:rPr>
                              <w:t>ⓒ</w:t>
                            </w:r>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CE247F">
                              <w:rPr>
                                <w:rFonts w:ascii="Nirmala UI" w:hAnsi="Nirmala UI" w:cs="Nirmala UI"/>
                                <w:sz w:val="14"/>
                              </w:rPr>
                              <w:t xml:space="preserve">der blaue reiter </w:t>
                            </w:r>
                            <w:bookmarkStart w:id="0" w:name="_GoBack"/>
                            <w:bookmarkEnd w:id="0"/>
                            <w:r w:rsidRPr="0010154E">
                              <w:rPr>
                                <w:rFonts w:ascii="Nirmala UI" w:hAnsi="Nirmala UI" w:cs="Nirmala UI"/>
                                <w:sz w:val="14"/>
                              </w:rPr>
                              <w:t xml:space="preserve">Verlag für Philosophie Siegfried Reusch e.K. / </w:t>
                            </w:r>
                          </w:p>
                          <w:p w:rsidR="00746C15" w:rsidRPr="0010154E"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46C15" w:rsidRDefault="00746C15" w:rsidP="00746C15"/>
                          <w:p w:rsidR="00746C15" w:rsidRPr="00CF4082" w:rsidRDefault="00746C15" w:rsidP="00746C15">
                            <w:pPr>
                              <w:spacing w:after="0" w:line="160" w:lineRule="exact"/>
                              <w:jc w:val="center"/>
                              <w:rPr>
                                <w:rFonts w:ascii="Nirmala UI" w:hAnsi="Nirmala UI" w:cs="Nirmala UI"/>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9D487" id="_x0000_t202" coordsize="21600,21600" o:spt="202" path="m,l,21600r21600,l21600,xe">
                <v:stroke joinstyle="miter"/>
                <v:path gradientshapeok="t" o:connecttype="rect"/>
              </v:shapetype>
              <v:shape id="Textfeld 3" o:spid="_x0000_s1027" type="#_x0000_t202" style="position:absolute;left:0;text-align:left;margin-left:-6.75pt;margin-top:795.95pt;width:536.4pt;height:37.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" filled="f" stroked="f" strokeweight=".5pt">
                <v:textbox>
                  <w:txbxContent>
                    <w:p w:rsidR="00746C15"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MS Gothic" w:eastAsia="MS Gothic" w:hAnsi="MS Gothic" w:cs="MS Gothic" w:hint="eastAsia"/>
                          <w:sz w:val="14"/>
                        </w:rPr>
                        <w:t>ⓒ</w:t>
                      </w:r>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CE247F">
                        <w:rPr>
                          <w:rFonts w:ascii="Nirmala UI" w:hAnsi="Nirmala UI" w:cs="Nirmala UI"/>
                          <w:sz w:val="14"/>
                        </w:rPr>
                        <w:t xml:space="preserve">der blaue reiter </w:t>
                      </w:r>
                      <w:bookmarkStart w:id="1" w:name="_GoBack"/>
                      <w:bookmarkEnd w:id="1"/>
                      <w:r w:rsidRPr="0010154E">
                        <w:rPr>
                          <w:rFonts w:ascii="Nirmala UI" w:hAnsi="Nirmala UI" w:cs="Nirmala UI"/>
                          <w:sz w:val="14"/>
                        </w:rPr>
                        <w:t xml:space="preserve">Verlag für Philosophie Siegfried Reusch e.K. / </w:t>
                      </w:r>
                    </w:p>
                    <w:p w:rsidR="00746C15" w:rsidRPr="0010154E"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46C15" w:rsidRDefault="00746C15" w:rsidP="00746C15"/>
                    <w:p w:rsidR="00746C15" w:rsidRPr="00CF4082" w:rsidRDefault="00746C15" w:rsidP="00746C15">
                      <w:pPr>
                        <w:spacing w:after="0" w:line="160" w:lineRule="exact"/>
                        <w:jc w:val="center"/>
                        <w:rPr>
                          <w:rFonts w:ascii="Nirmala UI" w:hAnsi="Nirmala UI" w:cs="Nirmala UI"/>
                          <w:color w:val="262626" w:themeColor="text1" w:themeTint="D9"/>
                          <w:sz w:val="14"/>
                          <w:szCs w:val="14"/>
                        </w:rPr>
                      </w:pPr>
                    </w:p>
                  </w:txbxContent>
                </v:textbox>
                <w10:wrap type="square" anchorx="margin" anchory="page"/>
              </v:shape>
            </w:pict>
          </mc:Fallback>
        </mc:AlternateContent>
      </w:r>
      <w:r w:rsidR="00E83E70" w:rsidRPr="00072F99">
        <w:rPr>
          <w:noProof/>
          <w:sz w:val="21"/>
          <w:szCs w:val="21"/>
          <w:lang w:eastAsia="de-DE"/>
        </w:rPr>
        <w:drawing>
          <wp:anchor distT="0" distB="0" distL="114300" distR="114300" simplePos="0" relativeHeight="251665408" behindDoc="1" locked="0" layoutInCell="1" allowOverlap="1">
            <wp:simplePos x="0" y="0"/>
            <wp:positionH relativeFrom="margin">
              <wp:posOffset>5947410</wp:posOffset>
            </wp:positionH>
            <wp:positionV relativeFrom="margin">
              <wp:posOffset>8214995</wp:posOffset>
            </wp:positionV>
            <wp:extent cx="809625" cy="680085"/>
            <wp:effectExtent l="7620" t="0" r="0" b="0"/>
            <wp:wrapSquare wrapText="bothSides"/>
            <wp:docPr id="4" name="Grafik 4" descr="C:\ANNA\der blaue reiter\Lehrerportal\Logo dbr sei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NA\der blaue reiter\Lehrerportal\Logo dbr seit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80962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9E3FB5" w:rsidRPr="00072F99">
        <w:rPr>
          <w:rFonts w:ascii="Constantia" w:hAnsi="Constantia" w:cs="Palatino-Roman"/>
          <w:color w:val="000000" w:themeColor="text1"/>
          <w:sz w:val="21"/>
          <w:szCs w:val="21"/>
        </w:rPr>
        <w:t xml:space="preserve"> </w:t>
      </w:r>
      <w:r w:rsidR="002F70CE" w:rsidRPr="00072F99">
        <w:rPr>
          <w:rFonts w:ascii="Constantia" w:hAnsi="Constantia" w:cs="Palatino-Roman"/>
          <w:color w:val="000000" w:themeColor="text1"/>
          <w:sz w:val="21"/>
          <w:szCs w:val="21"/>
        </w:rPr>
        <w:t>[…]</w:t>
      </w:r>
    </w:p>
    <w:p w:rsidR="009E3FB5" w:rsidRPr="007D088D" w:rsidRDefault="009E3FB5" w:rsidP="004D3DAE">
      <w:pPr>
        <w:suppressLineNumbers/>
        <w:spacing w:after="0" w:line="240" w:lineRule="auto"/>
        <w:ind w:left="567"/>
        <w:jc w:val="right"/>
        <w:rPr>
          <w:rFonts w:ascii="Constantia" w:hAnsi="Constantia"/>
          <w:i/>
          <w:color w:val="000000" w:themeColor="text1"/>
          <w:sz w:val="20"/>
        </w:rPr>
      </w:pPr>
    </w:p>
    <w:p w:rsidR="000B5000" w:rsidRPr="00626E68" w:rsidRDefault="004D3DAE" w:rsidP="00E77170">
      <w:pPr>
        <w:suppressLineNumbers/>
        <w:ind w:left="567" w:right="-1"/>
        <w:jc w:val="right"/>
        <w:rPr>
          <w:rFonts w:ascii="Constantia" w:hAnsi="Constantia"/>
          <w:i/>
          <w:color w:val="000000" w:themeColor="text1"/>
          <w:sz w:val="16"/>
        </w:rPr>
      </w:pPr>
      <w:r w:rsidRPr="00626E68">
        <w:rPr>
          <w:rFonts w:ascii="Constantia" w:hAnsi="Constantia"/>
          <w:i/>
          <w:color w:val="000000" w:themeColor="text1"/>
          <w:sz w:val="16"/>
        </w:rPr>
        <w:t xml:space="preserve">Der vorstehende Text ist ein Auszug aus dem Journal für Philosophie „der blaue reiter". Den kompletten Text finden Sie unter: </w:t>
      </w:r>
      <w:r w:rsidR="00072F99">
        <w:rPr>
          <w:rFonts w:ascii="Constantia" w:hAnsi="Constantia"/>
          <w:i/>
          <w:color w:val="000000" w:themeColor="text1"/>
          <w:sz w:val="16"/>
        </w:rPr>
        <w:t>Joachim Gauck im Interview: „Die Idee der Gerechtigkeit muss immer wieder auf den Prüfstand“</w:t>
      </w:r>
      <w:r w:rsidR="00E77170" w:rsidRPr="00E77170">
        <w:rPr>
          <w:rFonts w:ascii="Constantia" w:hAnsi="Constantia"/>
          <w:i/>
          <w:color w:val="000000" w:themeColor="text1"/>
          <w:sz w:val="16"/>
        </w:rPr>
        <w:t xml:space="preserve">. In: der blaue reiter, Journal für Philosophie. </w:t>
      </w:r>
      <w:r w:rsidR="00072F99">
        <w:rPr>
          <w:rFonts w:ascii="Constantia" w:hAnsi="Constantia"/>
          <w:i/>
          <w:color w:val="000000" w:themeColor="text1"/>
          <w:sz w:val="16"/>
        </w:rPr>
        <w:t>Was ist gerecht? (Ausgabe 19</w:t>
      </w:r>
      <w:r w:rsidR="00CE247F">
        <w:rPr>
          <w:rFonts w:ascii="Constantia" w:hAnsi="Constantia"/>
          <w:i/>
          <w:color w:val="000000" w:themeColor="text1"/>
          <w:sz w:val="16"/>
        </w:rPr>
        <w:t>), der blaue reiter</w:t>
      </w:r>
      <w:r w:rsidR="00E77170" w:rsidRPr="00E77170">
        <w:rPr>
          <w:rFonts w:ascii="Constantia" w:hAnsi="Constantia"/>
          <w:i/>
          <w:color w:val="000000" w:themeColor="text1"/>
          <w:sz w:val="16"/>
        </w:rPr>
        <w:t xml:space="preserve"> Verlag für Philosophie, Stuttgart </w:t>
      </w:r>
      <w:r w:rsidR="00072F99">
        <w:rPr>
          <w:rFonts w:ascii="Constantia" w:hAnsi="Constantia"/>
          <w:i/>
          <w:color w:val="000000" w:themeColor="text1"/>
          <w:sz w:val="16"/>
        </w:rPr>
        <w:t>2004</w:t>
      </w:r>
      <w:r w:rsidR="00E77170" w:rsidRPr="00E77170">
        <w:rPr>
          <w:rFonts w:ascii="Constantia" w:hAnsi="Constantia"/>
          <w:i/>
          <w:color w:val="000000" w:themeColor="text1"/>
          <w:sz w:val="16"/>
        </w:rPr>
        <w:t xml:space="preserve">, Seite </w:t>
      </w:r>
      <w:r w:rsidR="00072F99">
        <w:rPr>
          <w:rFonts w:ascii="Constantia" w:hAnsi="Constantia"/>
          <w:i/>
          <w:color w:val="000000" w:themeColor="text1"/>
          <w:sz w:val="16"/>
        </w:rPr>
        <w:t>6</w:t>
      </w:r>
      <w:r w:rsidR="00E77170" w:rsidRPr="00E77170">
        <w:rPr>
          <w:rFonts w:ascii="Constantia" w:hAnsi="Constantia"/>
          <w:i/>
          <w:color w:val="000000" w:themeColor="text1"/>
          <w:sz w:val="16"/>
        </w:rPr>
        <w:t>9</w:t>
      </w:r>
      <w:r w:rsidR="00072F99">
        <w:rPr>
          <w:rFonts w:ascii="Constantia" w:hAnsi="Constantia"/>
          <w:i/>
          <w:color w:val="000000" w:themeColor="text1"/>
          <w:sz w:val="16"/>
        </w:rPr>
        <w:t xml:space="preserve">f., ISBN </w:t>
      </w:r>
      <w:r w:rsidR="00072F99" w:rsidRPr="00072F99">
        <w:rPr>
          <w:rFonts w:ascii="Constantia" w:hAnsi="Constantia"/>
          <w:i/>
          <w:color w:val="000000" w:themeColor="text1"/>
          <w:sz w:val="16"/>
        </w:rPr>
        <w:t>978-3-933722-10-2</w:t>
      </w:r>
    </w:p>
    <w:p w:rsidR="00D90068" w:rsidRPr="00626E68" w:rsidRDefault="00CF4082" w:rsidP="00AB00AD">
      <w:pPr>
        <w:suppressLineNumbers/>
        <w:ind w:left="567" w:right="-1"/>
        <w:jc w:val="right"/>
        <w:rPr>
          <w:rFonts w:ascii="Constantia" w:hAnsi="Constantia"/>
          <w:i/>
          <w:color w:val="000000" w:themeColor="text1"/>
          <w:sz w:val="16"/>
        </w:rPr>
      </w:pPr>
      <w:r w:rsidRPr="00626E68">
        <w:rPr>
          <w:rFonts w:ascii="Nirmala UI" w:hAnsi="Nirmala UI" w:cs="Nirmala UI"/>
          <w:noProof/>
          <w:color w:val="000000" w:themeColor="text1"/>
          <w:sz w:val="18"/>
          <w:lang w:eastAsia="de-DE"/>
        </w:rPr>
        <mc:AlternateContent>
          <mc:Choice Requires="wps">
            <w:drawing>
              <wp:anchor distT="0" distB="0" distL="0" distR="0" simplePos="0" relativeHeight="251661312" behindDoc="1" locked="0" layoutInCell="1" allowOverlap="1">
                <wp:simplePos x="0" y="0"/>
                <wp:positionH relativeFrom="column">
                  <wp:posOffset>0</wp:posOffset>
                </wp:positionH>
                <wp:positionV relativeFrom="paragraph">
                  <wp:posOffset>804545</wp:posOffset>
                </wp:positionV>
                <wp:extent cx="3114675" cy="3971925"/>
                <wp:effectExtent l="0" t="0" r="28575" b="28575"/>
                <wp:wrapTight wrapText="largest">
                  <wp:wrapPolygon edited="0">
                    <wp:start x="0" y="0"/>
                    <wp:lineTo x="0" y="21652"/>
                    <wp:lineTo x="21666" y="21652"/>
                    <wp:lineTo x="21666" y="0"/>
                    <wp:lineTo x="0" y="0"/>
                  </wp:wrapPolygon>
                </wp:wrapTight>
                <wp:docPr id="2" name="Rechteck 2"/>
                <wp:cNvGraphicFramePr/>
                <a:graphic xmlns:a="http://schemas.openxmlformats.org/drawingml/2006/main">
                  <a:graphicData uri="http://schemas.microsoft.com/office/word/2010/wordprocessingShape">
                    <wps:wsp>
                      <wps:cNvSpPr/>
                      <wps:spPr>
                        <a:xfrm>
                          <a:off x="0" y="0"/>
                          <a:ext cx="3114675" cy="3971925"/>
                        </a:xfrm>
                        <a:prstGeom prst="rect">
                          <a:avLst/>
                        </a:prstGeom>
                        <a:ln w="190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rsidR="00527CF6" w:rsidRPr="00480DE9" w:rsidRDefault="00527CF6" w:rsidP="004D3DAE">
                            <w:pPr>
                              <w:suppressLineNumbers/>
                              <w:spacing w:line="240" w:lineRule="auto"/>
                              <w:rPr>
                                <w:rFonts w:ascii="Nirmala UI" w:hAnsi="Nirmala UI" w:cs="Nirmala UI"/>
                                <w:b/>
                                <w:szCs w:val="19"/>
                              </w:rPr>
                            </w:pPr>
                            <w:r w:rsidRPr="00480DE9">
                              <w:rPr>
                                <w:rFonts w:ascii="Nirmala UI" w:hAnsi="Nirmala UI" w:cs="Nirmala UI"/>
                                <w:b/>
                                <w:szCs w:val="19"/>
                              </w:rPr>
                              <w:t>Arbeitsaufträge</w:t>
                            </w:r>
                          </w:p>
                          <w:p w:rsidR="00527CF6" w:rsidRPr="009E3FB5" w:rsidRDefault="002B41C5" w:rsidP="00972AEC">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i/>
                                <w:sz w:val="18"/>
                                <w:szCs w:val="19"/>
                              </w:rPr>
                            </w:pPr>
                            <w:r>
                              <w:rPr>
                                <w:rFonts w:ascii="Nirmala UI" w:hAnsi="Nirmala UI" w:cs="Nirmala UI"/>
                                <w:sz w:val="18"/>
                                <w:szCs w:val="19"/>
                              </w:rPr>
                              <w:t>Fassen Sie Gaucks Thesen über Gerechtigkeit in der Gesellschaft zusammen</w:t>
                            </w:r>
                            <w:r w:rsidR="00527CF6" w:rsidRPr="009E3FB5">
                              <w:rPr>
                                <w:rFonts w:ascii="Nirmala UI" w:hAnsi="Nirmala UI" w:cs="Nirmala UI"/>
                                <w:sz w:val="18"/>
                                <w:szCs w:val="19"/>
                              </w:rPr>
                              <w:t xml:space="preserve">. </w:t>
                            </w:r>
                            <w:r w:rsidR="00527CF6" w:rsidRPr="009E3FB5">
                              <w:rPr>
                                <w:rFonts w:ascii="Nirmala UI" w:hAnsi="Nirmala UI" w:cs="Nirmala UI"/>
                                <w:i/>
                                <w:sz w:val="18"/>
                                <w:szCs w:val="19"/>
                              </w:rPr>
                              <w:t>(Anforderungsbereich I</w:t>
                            </w:r>
                            <w:r w:rsidR="00480DE9" w:rsidRPr="009E3FB5">
                              <w:rPr>
                                <w:rFonts w:ascii="Nirmala UI" w:hAnsi="Nirmala UI" w:cs="Nirmala UI"/>
                                <w:i/>
                                <w:sz w:val="18"/>
                                <w:szCs w:val="19"/>
                              </w:rPr>
                              <w:t>*</w:t>
                            </w:r>
                            <w:r w:rsidR="00527CF6" w:rsidRPr="009E3FB5">
                              <w:rPr>
                                <w:rFonts w:ascii="Nirmala UI" w:hAnsi="Nirmala UI" w:cs="Nirmala UI"/>
                                <w:i/>
                                <w:sz w:val="18"/>
                                <w:szCs w:val="19"/>
                              </w:rPr>
                              <w:t>)</w:t>
                            </w:r>
                          </w:p>
                          <w:p w:rsidR="00527CF6" w:rsidRPr="00B05B7E" w:rsidRDefault="002B41C5" w:rsidP="00B05B7E">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Pr>
                                <w:rFonts w:ascii="Nirmala UI" w:hAnsi="Nirmala UI" w:cs="Nirmala UI"/>
                                <w:sz w:val="18"/>
                                <w:szCs w:val="19"/>
                              </w:rPr>
                              <w:t>Führen Sie an Ihrer Schule eine Umfrage durch. Versuchen Sie herauszufinden, ob die Mehrheit Ihrer Mitschüler „sich nach einem aufgeklärten Fürsten“ (Z.55) sehnt</w:t>
                            </w:r>
                            <w:r w:rsidR="00B05B7E">
                              <w:rPr>
                                <w:rFonts w:ascii="Nirmala UI" w:hAnsi="Nirmala UI" w:cs="Nirmala UI"/>
                                <w:sz w:val="18"/>
                                <w:szCs w:val="19"/>
                              </w:rPr>
                              <w:t>.</w:t>
                            </w:r>
                            <w:r>
                              <w:rPr>
                                <w:rFonts w:ascii="Nirmala UI" w:hAnsi="Nirmala UI" w:cs="Nirmala UI"/>
                                <w:sz w:val="18"/>
                                <w:szCs w:val="19"/>
                              </w:rPr>
                              <w:t xml:space="preserve"> Erstellen Sie dafür einen entsprechenden Fragebogen und werten Sie diesen (prozentual) aus.</w:t>
                            </w:r>
                            <w:r w:rsidR="00972AEC" w:rsidRPr="00B05B7E">
                              <w:rPr>
                                <w:rFonts w:ascii="Nirmala UI" w:hAnsi="Nirmala UI" w:cs="Nirmala UI"/>
                                <w:i/>
                                <w:sz w:val="18"/>
                                <w:szCs w:val="19"/>
                              </w:rPr>
                              <w:t xml:space="preserve"> </w:t>
                            </w:r>
                            <w:r w:rsidR="00527CF6" w:rsidRPr="00B05B7E">
                              <w:rPr>
                                <w:rFonts w:ascii="Nirmala UI" w:hAnsi="Nirmala UI" w:cs="Nirmala UI"/>
                                <w:i/>
                                <w:sz w:val="18"/>
                                <w:szCs w:val="19"/>
                              </w:rPr>
                              <w:t>(Anforderungsbereich II</w:t>
                            </w:r>
                            <w:r w:rsidR="00480DE9" w:rsidRPr="00B05B7E">
                              <w:rPr>
                                <w:rFonts w:ascii="Nirmala UI" w:hAnsi="Nirmala UI" w:cs="Nirmala UI"/>
                                <w:i/>
                                <w:sz w:val="18"/>
                                <w:szCs w:val="19"/>
                              </w:rPr>
                              <w:t>*</w:t>
                            </w:r>
                            <w:r w:rsidR="00527CF6" w:rsidRPr="00B05B7E">
                              <w:rPr>
                                <w:rFonts w:ascii="Nirmala UI" w:hAnsi="Nirmala UI" w:cs="Nirmala UI"/>
                                <w:i/>
                                <w:sz w:val="18"/>
                                <w:szCs w:val="19"/>
                              </w:rPr>
                              <w:t>)</w:t>
                            </w:r>
                          </w:p>
                          <w:p w:rsidR="00527CF6" w:rsidRPr="00480DE9" w:rsidRDefault="002B41C5" w:rsidP="00972AEC">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Pr>
                                <w:rFonts w:ascii="Nirmala UI" w:hAnsi="Nirmala UI" w:cs="Nirmala UI"/>
                                <w:sz w:val="18"/>
                                <w:szCs w:val="19"/>
                              </w:rPr>
                              <w:t>Diskutieren Sie in Anbetracht Ihrer Umfrageergebnisse, inwiefern Sie Gaucks Thesen zustimmen, und begründen Sie</w:t>
                            </w:r>
                            <w:r w:rsidR="00972AEC" w:rsidRPr="00972AEC">
                              <w:rPr>
                                <w:rFonts w:ascii="Nirmala UI" w:hAnsi="Nirmala UI" w:cs="Nirmala UI"/>
                                <w:sz w:val="18"/>
                                <w:szCs w:val="19"/>
                              </w:rPr>
                              <w:t>.</w:t>
                            </w:r>
                            <w:r w:rsidR="00972AEC" w:rsidRPr="00972AEC">
                              <w:rPr>
                                <w:rFonts w:ascii="Nirmala UI" w:hAnsi="Nirmala UI" w:cs="Nirmala UI"/>
                                <w:i/>
                                <w:sz w:val="18"/>
                                <w:szCs w:val="19"/>
                              </w:rPr>
                              <w:t xml:space="preserve"> </w:t>
                            </w:r>
                            <w:r w:rsidR="00527CF6" w:rsidRPr="002F70CE">
                              <w:rPr>
                                <w:rFonts w:ascii="Nirmala UI" w:hAnsi="Nirmala UI" w:cs="Nirmala UI"/>
                                <w:i/>
                                <w:sz w:val="18"/>
                                <w:szCs w:val="19"/>
                              </w:rPr>
                              <w:t>(Anforderungsbereich III</w:t>
                            </w:r>
                            <w:r w:rsidR="00480DE9">
                              <w:rPr>
                                <w:rFonts w:ascii="Nirmala UI" w:hAnsi="Nirmala UI" w:cs="Nirmala UI"/>
                                <w:i/>
                                <w:sz w:val="18"/>
                                <w:szCs w:val="19"/>
                              </w:rPr>
                              <w:t>*</w:t>
                            </w:r>
                            <w:r w:rsidR="00527CF6" w:rsidRPr="002F70CE">
                              <w:rPr>
                                <w:rFonts w:ascii="Nirmala UI" w:hAnsi="Nirmala UI" w:cs="Nirmala UI"/>
                                <w:i/>
                                <w:sz w:val="18"/>
                                <w:szCs w:val="19"/>
                              </w:rPr>
                              <w:t>)</w:t>
                            </w:r>
                          </w:p>
                          <w:p w:rsidR="00480DE9" w:rsidRPr="001532FD" w:rsidRDefault="00480DE9" w:rsidP="001532FD">
                            <w:pPr>
                              <w:suppressLineNumbers/>
                              <w:tabs>
                                <w:tab w:val="left" w:pos="284"/>
                              </w:tabs>
                              <w:spacing w:after="0" w:line="240" w:lineRule="auto"/>
                              <w:jc w:val="both"/>
                              <w:rPr>
                                <w:rFonts w:ascii="Nirmala UI" w:hAnsi="Nirmala UI" w:cs="Nirmala UI"/>
                                <w:sz w:val="15"/>
                                <w:szCs w:val="15"/>
                              </w:rPr>
                            </w:pPr>
                          </w:p>
                          <w:p w:rsidR="001532FD" w:rsidRPr="001532FD" w:rsidRDefault="00480DE9"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 Anforderungsbereiche I-III der KMK-Standards: siehe Einheitliche Prüfungsanforderungen in der Abiturprüfung Ethik, 2006</w:t>
                            </w:r>
                            <w:r w:rsidR="00CA3E83">
                              <w:rPr>
                                <w:rFonts w:ascii="Nirmala UI" w:hAnsi="Nirmala UI" w:cs="Nirmala UI"/>
                                <w:i/>
                                <w:sz w:val="15"/>
                                <w:szCs w:val="15"/>
                              </w:rPr>
                              <w:t>, S.10f.</w:t>
                            </w:r>
                            <w:r w:rsidR="004D3DAE" w:rsidRPr="001532FD">
                              <w:rPr>
                                <w:rFonts w:ascii="Nirmala UI" w:hAnsi="Nirmala UI" w:cs="Nirmala UI"/>
                                <w:i/>
                                <w:sz w:val="15"/>
                                <w:szCs w:val="15"/>
                              </w:rPr>
                              <w:t xml:space="preserve"> </w:t>
                            </w:r>
                          </w:p>
                          <w:p w:rsidR="00480DE9" w:rsidRPr="001532FD" w:rsidRDefault="004D3DAE"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(https://www.kmk.org/fileadmin/veroeffentlichungen_beschluesse/1989/1989_12_01-EPA-Ethik.pdf)</w:t>
                            </w:r>
                          </w:p>
                        </w:txbxContent>
                      </wps:txbx>
                      <wps:bodyPr rot="0" spcFirstLastPara="0" vertOverflow="overflow" horzOverflow="overflow" vert="horz" wrap="square" lIns="144000" tIns="144000" rIns="144000" bIns="14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8" style="position:absolute;left:0;text-align:left;margin-left:0;margin-top:63.35pt;width:245.25pt;height:312.75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" fillcolor="white [3201]" strokecolor="#bfbfbf [2412]" strokeweight="1.5pt">
                <v:textbox inset="4mm,4mm,4mm,4mm">
                  <w:txbxContent>
                    <w:p w:rsidR="00527CF6" w:rsidRPr="00480DE9" w:rsidRDefault="00527CF6" w:rsidP="004D3DAE">
                      <w:pPr>
                        <w:suppressLineNumbers/>
                        <w:spacing w:line="240" w:lineRule="auto"/>
                        <w:rPr>
                          <w:rFonts w:ascii="Nirmala UI" w:hAnsi="Nirmala UI" w:cs="Nirmala UI"/>
                          <w:b/>
                          <w:szCs w:val="19"/>
                        </w:rPr>
                      </w:pPr>
                      <w:r w:rsidRPr="00480DE9">
                        <w:rPr>
                          <w:rFonts w:ascii="Nirmala UI" w:hAnsi="Nirmala UI" w:cs="Nirmala UI"/>
                          <w:b/>
                          <w:szCs w:val="19"/>
                        </w:rPr>
                        <w:t>Arbeitsaufträge</w:t>
                      </w:r>
                    </w:p>
                    <w:p w:rsidR="00527CF6" w:rsidRPr="009E3FB5" w:rsidRDefault="002B41C5" w:rsidP="00972AEC">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i/>
                          <w:sz w:val="18"/>
                          <w:szCs w:val="19"/>
                        </w:rPr>
                      </w:pPr>
                      <w:r>
                        <w:rPr>
                          <w:rFonts w:ascii="Nirmala UI" w:hAnsi="Nirmala UI" w:cs="Nirmala UI"/>
                          <w:sz w:val="18"/>
                          <w:szCs w:val="19"/>
                        </w:rPr>
                        <w:t>Fassen Sie Gaucks Thesen über Gerechtigkeit in der Gesellschaft zusammen</w:t>
                      </w:r>
                      <w:r w:rsidR="00527CF6" w:rsidRPr="009E3FB5">
                        <w:rPr>
                          <w:rFonts w:ascii="Nirmala UI" w:hAnsi="Nirmala UI" w:cs="Nirmala UI"/>
                          <w:sz w:val="18"/>
                          <w:szCs w:val="19"/>
                        </w:rPr>
                        <w:t xml:space="preserve">. </w:t>
                      </w:r>
                      <w:r w:rsidR="00527CF6" w:rsidRPr="009E3FB5">
                        <w:rPr>
                          <w:rFonts w:ascii="Nirmala UI" w:hAnsi="Nirmala UI" w:cs="Nirmala UI"/>
                          <w:i/>
                          <w:sz w:val="18"/>
                          <w:szCs w:val="19"/>
                        </w:rPr>
                        <w:t>(Anforderungsbereich I</w:t>
                      </w:r>
                      <w:r w:rsidR="00480DE9" w:rsidRPr="009E3FB5">
                        <w:rPr>
                          <w:rFonts w:ascii="Nirmala UI" w:hAnsi="Nirmala UI" w:cs="Nirmala UI"/>
                          <w:i/>
                          <w:sz w:val="18"/>
                          <w:szCs w:val="19"/>
                        </w:rPr>
                        <w:t>*</w:t>
                      </w:r>
                      <w:r w:rsidR="00527CF6" w:rsidRPr="009E3FB5">
                        <w:rPr>
                          <w:rFonts w:ascii="Nirmala UI" w:hAnsi="Nirmala UI" w:cs="Nirmala UI"/>
                          <w:i/>
                          <w:sz w:val="18"/>
                          <w:szCs w:val="19"/>
                        </w:rPr>
                        <w:t>)</w:t>
                      </w:r>
                    </w:p>
                    <w:p w:rsidR="00527CF6" w:rsidRPr="00B05B7E" w:rsidRDefault="002B41C5" w:rsidP="00B05B7E">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Pr>
                          <w:rFonts w:ascii="Nirmala UI" w:hAnsi="Nirmala UI" w:cs="Nirmala UI"/>
                          <w:sz w:val="18"/>
                          <w:szCs w:val="19"/>
                        </w:rPr>
                        <w:t>Führen Sie an Ihrer Schule eine Umfrage durch. Versuchen Sie herauszufinden, ob die Mehrheit Ihrer Mitschüler „sich nach einem aufgeklärten Fürsten“ (Z.55) sehnt</w:t>
                      </w:r>
                      <w:r w:rsidR="00B05B7E">
                        <w:rPr>
                          <w:rFonts w:ascii="Nirmala UI" w:hAnsi="Nirmala UI" w:cs="Nirmala UI"/>
                          <w:sz w:val="18"/>
                          <w:szCs w:val="19"/>
                        </w:rPr>
                        <w:t>.</w:t>
                      </w:r>
                      <w:r>
                        <w:rPr>
                          <w:rFonts w:ascii="Nirmala UI" w:hAnsi="Nirmala UI" w:cs="Nirmala UI"/>
                          <w:sz w:val="18"/>
                          <w:szCs w:val="19"/>
                        </w:rPr>
                        <w:t xml:space="preserve"> Erstellen Sie dafür einen entsprechenden Fragebogen und werten Sie diesen (prozentual) aus.</w:t>
                      </w:r>
                      <w:r w:rsidR="00972AEC" w:rsidRPr="00B05B7E">
                        <w:rPr>
                          <w:rFonts w:ascii="Nirmala UI" w:hAnsi="Nirmala UI" w:cs="Nirmala UI"/>
                          <w:i/>
                          <w:sz w:val="18"/>
                          <w:szCs w:val="19"/>
                        </w:rPr>
                        <w:t xml:space="preserve"> </w:t>
                      </w:r>
                      <w:r w:rsidR="00527CF6" w:rsidRPr="00B05B7E">
                        <w:rPr>
                          <w:rFonts w:ascii="Nirmala UI" w:hAnsi="Nirmala UI" w:cs="Nirmala UI"/>
                          <w:i/>
                          <w:sz w:val="18"/>
                          <w:szCs w:val="19"/>
                        </w:rPr>
                        <w:t>(Anforderungsbereich II</w:t>
                      </w:r>
                      <w:r w:rsidR="00480DE9" w:rsidRPr="00B05B7E">
                        <w:rPr>
                          <w:rFonts w:ascii="Nirmala UI" w:hAnsi="Nirmala UI" w:cs="Nirmala UI"/>
                          <w:i/>
                          <w:sz w:val="18"/>
                          <w:szCs w:val="19"/>
                        </w:rPr>
                        <w:t>*</w:t>
                      </w:r>
                      <w:r w:rsidR="00527CF6" w:rsidRPr="00B05B7E">
                        <w:rPr>
                          <w:rFonts w:ascii="Nirmala UI" w:hAnsi="Nirmala UI" w:cs="Nirmala UI"/>
                          <w:i/>
                          <w:sz w:val="18"/>
                          <w:szCs w:val="19"/>
                        </w:rPr>
                        <w:t>)</w:t>
                      </w:r>
                    </w:p>
                    <w:p w:rsidR="00527CF6" w:rsidRPr="00480DE9" w:rsidRDefault="002B41C5" w:rsidP="00972AEC">
                      <w:pPr>
                        <w:pStyle w:val="Listenabsatz"/>
                        <w:numPr>
                          <w:ilvl w:val="0"/>
                          <w:numId w:val="1"/>
                        </w:numPr>
                        <w:suppressLineNumbers/>
                        <w:tabs>
                          <w:tab w:val="left" w:pos="284"/>
                        </w:tabs>
                        <w:spacing w:after="120" w:line="240" w:lineRule="auto"/>
                        <w:ind w:left="0" w:firstLine="0"/>
                        <w:contextualSpacing w:val="0"/>
                        <w:jc w:val="both"/>
                        <w:rPr>
                          <w:rFonts w:ascii="Nirmala UI" w:hAnsi="Nirmala UI" w:cs="Nirmala UI"/>
                          <w:sz w:val="18"/>
                          <w:szCs w:val="19"/>
                        </w:rPr>
                      </w:pPr>
                      <w:r>
                        <w:rPr>
                          <w:rFonts w:ascii="Nirmala UI" w:hAnsi="Nirmala UI" w:cs="Nirmala UI"/>
                          <w:sz w:val="18"/>
                          <w:szCs w:val="19"/>
                        </w:rPr>
                        <w:t>Diskutieren Sie in Anbetracht Ihrer Umfrageergebnisse, inwiefern Sie Gaucks Thesen zustimmen, und begründen Sie</w:t>
                      </w:r>
                      <w:bookmarkStart w:id="1" w:name="_GoBack"/>
                      <w:bookmarkEnd w:id="1"/>
                      <w:r w:rsidR="00972AEC" w:rsidRPr="00972AEC">
                        <w:rPr>
                          <w:rFonts w:ascii="Nirmala UI" w:hAnsi="Nirmala UI" w:cs="Nirmala UI"/>
                          <w:sz w:val="18"/>
                          <w:szCs w:val="19"/>
                        </w:rPr>
                        <w:t>.</w:t>
                      </w:r>
                      <w:r w:rsidR="00972AEC" w:rsidRPr="00972AEC">
                        <w:rPr>
                          <w:rFonts w:ascii="Nirmala UI" w:hAnsi="Nirmala UI" w:cs="Nirmala UI"/>
                          <w:i/>
                          <w:sz w:val="18"/>
                          <w:szCs w:val="19"/>
                        </w:rPr>
                        <w:t xml:space="preserve"> </w:t>
                      </w:r>
                      <w:r w:rsidR="00527CF6" w:rsidRPr="002F70CE">
                        <w:rPr>
                          <w:rFonts w:ascii="Nirmala UI" w:hAnsi="Nirmala UI" w:cs="Nirmala UI"/>
                          <w:i/>
                          <w:sz w:val="18"/>
                          <w:szCs w:val="19"/>
                        </w:rPr>
                        <w:t>(Anforderungsbereich III</w:t>
                      </w:r>
                      <w:r w:rsidR="00480DE9">
                        <w:rPr>
                          <w:rFonts w:ascii="Nirmala UI" w:hAnsi="Nirmala UI" w:cs="Nirmala UI"/>
                          <w:i/>
                          <w:sz w:val="18"/>
                          <w:szCs w:val="19"/>
                        </w:rPr>
                        <w:t>*</w:t>
                      </w:r>
                      <w:r w:rsidR="00527CF6" w:rsidRPr="002F70CE">
                        <w:rPr>
                          <w:rFonts w:ascii="Nirmala UI" w:hAnsi="Nirmala UI" w:cs="Nirmala UI"/>
                          <w:i/>
                          <w:sz w:val="18"/>
                          <w:szCs w:val="19"/>
                        </w:rPr>
                        <w:t>)</w:t>
                      </w:r>
                    </w:p>
                    <w:p w:rsidR="00480DE9" w:rsidRPr="001532FD" w:rsidRDefault="00480DE9" w:rsidP="001532FD">
                      <w:pPr>
                        <w:suppressLineNumbers/>
                        <w:tabs>
                          <w:tab w:val="left" w:pos="284"/>
                        </w:tabs>
                        <w:spacing w:after="0" w:line="240" w:lineRule="auto"/>
                        <w:jc w:val="both"/>
                        <w:rPr>
                          <w:rFonts w:ascii="Nirmala UI" w:hAnsi="Nirmala UI" w:cs="Nirmala UI"/>
                          <w:sz w:val="15"/>
                          <w:szCs w:val="15"/>
                        </w:rPr>
                      </w:pPr>
                    </w:p>
                    <w:p w:rsidR="001532FD" w:rsidRPr="001532FD" w:rsidRDefault="00480DE9"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 Anforderungsbereiche I-III der KMK-Standards: siehe Einheitliche Prüfungsanforderungen in der Abiturprüfung Ethik, 2006</w:t>
                      </w:r>
                      <w:r w:rsidR="00CA3E83">
                        <w:rPr>
                          <w:rFonts w:ascii="Nirmala UI" w:hAnsi="Nirmala UI" w:cs="Nirmala UI"/>
                          <w:i/>
                          <w:sz w:val="15"/>
                          <w:szCs w:val="15"/>
                        </w:rPr>
                        <w:t>, S.10f.</w:t>
                      </w:r>
                      <w:r w:rsidR="004D3DAE" w:rsidRPr="001532FD">
                        <w:rPr>
                          <w:rFonts w:ascii="Nirmala UI" w:hAnsi="Nirmala UI" w:cs="Nirmala UI"/>
                          <w:i/>
                          <w:sz w:val="15"/>
                          <w:szCs w:val="15"/>
                        </w:rPr>
                        <w:t xml:space="preserve"> </w:t>
                      </w:r>
                    </w:p>
                    <w:p w:rsidR="00480DE9" w:rsidRPr="001532FD" w:rsidRDefault="004D3DAE" w:rsidP="004D3DAE">
                      <w:pPr>
                        <w:suppressLineNumbers/>
                        <w:tabs>
                          <w:tab w:val="left" w:pos="284"/>
                        </w:tabs>
                        <w:spacing w:after="120" w:line="240" w:lineRule="auto"/>
                        <w:jc w:val="right"/>
                        <w:rPr>
                          <w:rFonts w:ascii="Nirmala UI" w:hAnsi="Nirmala UI" w:cs="Nirmala UI"/>
                          <w:i/>
                          <w:sz w:val="15"/>
                          <w:szCs w:val="15"/>
                        </w:rPr>
                      </w:pPr>
                      <w:r w:rsidRPr="001532FD">
                        <w:rPr>
                          <w:rFonts w:ascii="Nirmala UI" w:hAnsi="Nirmala UI" w:cs="Nirmala UI"/>
                          <w:i/>
                          <w:sz w:val="15"/>
                          <w:szCs w:val="15"/>
                        </w:rPr>
                        <w:t>(https://www.kmk.org/fileadmin/veroeffentlichungen_beschluesse/1989/1989_12_01-EPA-Ethik.pdf)</w:t>
                      </w:r>
                    </w:p>
                  </w:txbxContent>
                </v:textbox>
                <w10:wrap type="tight" side="largest"/>
              </v:rect>
            </w:pict>
          </mc:Fallback>
        </mc:AlternateContent>
      </w:r>
      <w:r w:rsidR="00AB00AD" w:rsidRPr="00626E68">
        <w:rPr>
          <w:rFonts w:ascii="Constantia" w:hAnsi="Constantia"/>
          <w:i/>
          <w:color w:val="000000" w:themeColor="text1"/>
          <w:sz w:val="16"/>
        </w:rPr>
        <w:t>Lieferbar über jede Buchhandlung (Barsortiment) oder direkt über www.derblauereiter.de</w:t>
      </w:r>
    </w:p>
    <w:sectPr w:rsidR="00D90068" w:rsidRPr="00626E68" w:rsidSect="00E83E70">
      <w:headerReference w:type="default" r:id="rId9"/>
      <w:pgSz w:w="11906" w:h="16838"/>
      <w:pgMar w:top="234" w:right="567" w:bottom="1135" w:left="851" w:header="286" w:footer="283" w:gutter="0"/>
      <w:lnNumType w:countBy="5" w:distance="6" w:restart="continuous"/>
      <w:cols w:num="2" w:space="708"/>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E3E" w:rsidRDefault="00280E3E" w:rsidP="00273E9A">
      <w:pPr>
        <w:spacing w:after="0" w:line="240" w:lineRule="auto"/>
      </w:pPr>
      <w:r>
        <w:separator/>
      </w:r>
    </w:p>
  </w:endnote>
  <w:endnote w:type="continuationSeparator" w:id="0">
    <w:p w:rsidR="00280E3E" w:rsidRDefault="00280E3E" w:rsidP="0027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Roman">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Scala-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E3E" w:rsidRDefault="00280E3E" w:rsidP="00273E9A">
      <w:pPr>
        <w:spacing w:after="0" w:line="240" w:lineRule="auto"/>
      </w:pPr>
      <w:r>
        <w:separator/>
      </w:r>
    </w:p>
  </w:footnote>
  <w:footnote w:type="continuationSeparator" w:id="0">
    <w:p w:rsidR="00280E3E" w:rsidRDefault="00280E3E" w:rsidP="00273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EinfacheTabelle1"/>
      <w:tblW w:w="10211" w:type="dxa"/>
      <w:tblInd w:w="27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139"/>
      <w:gridCol w:w="3024"/>
      <w:gridCol w:w="3024"/>
      <w:gridCol w:w="3024"/>
    </w:tblGrid>
    <w:tr w:rsidR="003F6A9D" w:rsidTr="004B60D0">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139" w:type="dxa"/>
          <w:vMerge w:val="restart"/>
          <w:tcBorders>
            <w:top w:val="nil"/>
            <w:left w:val="nil"/>
            <w:right w:val="single" w:sz="12" w:space="0" w:color="BFBFBF" w:themeColor="background1" w:themeShade="BF"/>
          </w:tcBorders>
        </w:tcPr>
        <w:p w:rsidR="00AC6FDC" w:rsidRPr="007D088D" w:rsidRDefault="00626E68" w:rsidP="00B549BE">
          <w:pPr>
            <w:pStyle w:val="Kopfzeile"/>
            <w:tabs>
              <w:tab w:val="clear" w:pos="4536"/>
              <w:tab w:val="clear" w:pos="9072"/>
              <w:tab w:val="center" w:pos="5103"/>
              <w:tab w:val="right" w:pos="10773"/>
            </w:tabs>
            <w:rPr>
              <w:rFonts w:ascii="Nirmala UI" w:hAnsi="Nirmala UI" w:cs="Nirmala UI"/>
              <w:b w:val="0"/>
              <w:sz w:val="2"/>
            </w:rPr>
          </w:pPr>
          <w:r w:rsidRPr="00B43014">
            <w:rPr>
              <w:noProof/>
              <w:lang w:eastAsia="de-DE"/>
            </w:rPr>
            <w:drawing>
              <wp:inline distT="0" distB="0" distL="0" distR="0" wp14:anchorId="29D3C631" wp14:editId="3C6714ED">
                <wp:extent cx="400050" cy="669868"/>
                <wp:effectExtent l="0" t="0" r="0" b="0"/>
                <wp:docPr id="7" name="Grafik 7" descr="C:\ANNA\der blaue reiter\Lehrerportal\logo_d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NA\der blaue reiter\Lehrerportal\logo_db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669868"/>
                        </a:xfrm>
                        <a:prstGeom prst="rect">
                          <a:avLst/>
                        </a:prstGeom>
                        <a:noFill/>
                        <a:ln>
                          <a:noFill/>
                        </a:ln>
                      </pic:spPr>
                    </pic:pic>
                  </a:graphicData>
                </a:graphic>
              </wp:inline>
            </w:drawing>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sidRPr="00AC6FDC">
            <w:rPr>
              <w:rFonts w:ascii="Nirmala UI" w:hAnsi="Nirmala UI" w:cs="Nirmala UI"/>
              <w:bCs w:val="0"/>
              <w:sz w:val="20"/>
              <w:szCs w:val="20"/>
            </w:rPr>
            <w:t>Unterrichtseinheit</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sidRPr="00AC6FDC">
            <w:rPr>
              <w:rFonts w:ascii="Nirmala UI" w:hAnsi="Nirmala UI" w:cs="Nirmala UI"/>
              <w:bCs w:val="0"/>
              <w:sz w:val="20"/>
              <w:szCs w:val="20"/>
            </w:rPr>
            <w:t>Thema</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AC6FDC" w:rsidP="00AC6FDC">
          <w:pPr>
            <w:pStyle w:val="Kopfzeile"/>
            <w:tabs>
              <w:tab w:val="clear" w:pos="4536"/>
              <w:tab w:val="clear" w:pos="9072"/>
              <w:tab w:val="center" w:pos="5103"/>
              <w:tab w:val="right" w:pos="10773"/>
            </w:tabs>
            <w:cnfStyle w:val="100000000000" w:firstRow="1" w:lastRow="0" w:firstColumn="0" w:lastColumn="0" w:oddVBand="0" w:evenVBand="0" w:oddHBand="0" w:evenHBand="0" w:firstRowFirstColumn="0" w:firstRowLastColumn="0" w:lastRowFirstColumn="0" w:lastRowLastColumn="0"/>
            <w:rPr>
              <w:rFonts w:ascii="Nirmala UI" w:hAnsi="Nirmala UI" w:cs="Nirmala UI"/>
              <w:sz w:val="20"/>
              <w:szCs w:val="20"/>
            </w:rPr>
          </w:pPr>
          <w:r w:rsidRPr="00AC6FDC">
            <w:rPr>
              <w:rFonts w:ascii="Nirmala UI" w:hAnsi="Nirmala UI" w:cs="Nirmala UI"/>
              <w:sz w:val="20"/>
              <w:szCs w:val="20"/>
            </w:rPr>
            <w:t>Stundenthema</w:t>
          </w:r>
        </w:p>
      </w:tc>
    </w:tr>
    <w:tr w:rsidR="003F6A9D" w:rsidTr="004B60D0">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139" w:type="dxa"/>
          <w:vMerge/>
          <w:tcBorders>
            <w:left w:val="nil"/>
            <w:bottom w:val="nil"/>
            <w:right w:val="single" w:sz="12" w:space="0" w:color="BFBFBF" w:themeColor="background1" w:themeShade="BF"/>
          </w:tcBorders>
        </w:tcPr>
        <w:p w:rsidR="00AC6FDC" w:rsidRPr="00527CF6" w:rsidRDefault="00AC6FDC" w:rsidP="00B549BE">
          <w:pPr>
            <w:pStyle w:val="Kopfzeile"/>
            <w:tabs>
              <w:tab w:val="clear" w:pos="4536"/>
              <w:tab w:val="clear" w:pos="9072"/>
              <w:tab w:val="center" w:pos="5103"/>
              <w:tab w:val="right" w:pos="10773"/>
            </w:tabs>
            <w:rPr>
              <w:rFonts w:ascii="Constantia" w:hAnsi="Constantia"/>
              <w:b w:val="0"/>
              <w:noProof/>
              <w:lang w:eastAsia="de-DE"/>
            </w:rPr>
          </w:pP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4C6A87"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bCs/>
              <w:sz w:val="20"/>
              <w:szCs w:val="20"/>
            </w:rPr>
            <w:t>Recht und Moral</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DF152B" w:rsidP="00AC6FDC">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sz w:val="20"/>
              <w:szCs w:val="20"/>
            </w:rPr>
          </w:pPr>
          <w:r>
            <w:rPr>
              <w:rFonts w:ascii="Nirmala UI" w:hAnsi="Nirmala UI" w:cs="Nirmala UI"/>
              <w:sz w:val="20"/>
              <w:szCs w:val="20"/>
            </w:rPr>
            <w:t>Gerechtigkeit</w:t>
          </w:r>
          <w:r w:rsidR="007E1964">
            <w:rPr>
              <w:rFonts w:ascii="Nirmala UI" w:hAnsi="Nirmala UI" w:cs="Nirmala UI"/>
              <w:sz w:val="20"/>
              <w:szCs w:val="20"/>
            </w:rPr>
            <w:t>stheorien</w:t>
          </w:r>
        </w:p>
      </w:tc>
      <w:tc>
        <w:tcPr>
          <w:tcW w:w="302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AC6FDC" w:rsidRPr="00AC6FDC" w:rsidRDefault="00DF152B" w:rsidP="00DF152B">
          <w:pPr>
            <w:pStyle w:val="Kopfzeile"/>
            <w:tabs>
              <w:tab w:val="clear" w:pos="4536"/>
              <w:tab w:val="clear" w:pos="9072"/>
              <w:tab w:val="center" w:pos="5103"/>
              <w:tab w:val="right" w:pos="10773"/>
            </w:tabs>
            <w:cnfStyle w:val="000000100000" w:firstRow="0" w:lastRow="0" w:firstColumn="0" w:lastColumn="0" w:oddVBand="0" w:evenVBand="0" w:oddHBand="1" w:evenHBand="0" w:firstRowFirstColumn="0" w:firstRowLastColumn="0" w:lastRowFirstColumn="0" w:lastRowLastColumn="0"/>
            <w:rPr>
              <w:rFonts w:ascii="Nirmala UI" w:hAnsi="Nirmala UI" w:cs="Nirmala UI"/>
              <w:sz w:val="20"/>
              <w:szCs w:val="20"/>
            </w:rPr>
          </w:pPr>
          <w:r>
            <w:rPr>
              <w:rFonts w:ascii="Nirmala UI" w:hAnsi="Nirmala UI" w:cs="Nirmala UI"/>
              <w:sz w:val="20"/>
              <w:szCs w:val="20"/>
            </w:rPr>
            <w:t>Gerechtigkeit in der Gesellschaft</w:t>
          </w:r>
        </w:p>
      </w:tc>
    </w:tr>
  </w:tbl>
  <w:p w:rsidR="00E04E18" w:rsidRPr="00E04E18" w:rsidRDefault="00E04E18" w:rsidP="00B549BE">
    <w:pPr>
      <w:pStyle w:val="Kopfzeile"/>
      <w:tabs>
        <w:tab w:val="clear" w:pos="4536"/>
        <w:tab w:val="clear" w:pos="9072"/>
        <w:tab w:val="center" w:pos="5103"/>
        <w:tab w:val="right" w:pos="10773"/>
      </w:tabs>
      <w:rPr>
        <w:rFonts w:ascii="Nirmala UI" w:hAnsi="Nirmala UI" w:cs="Nirmala UI"/>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57B61"/>
    <w:multiLevelType w:val="hybridMultilevel"/>
    <w:tmpl w:val="82FC712A"/>
    <w:lvl w:ilvl="0" w:tplc="BED233C6">
      <w:start w:val="1"/>
      <w:numFmt w:val="decimal"/>
      <w:lvlText w:val="%1."/>
      <w:lvlJc w:val="left"/>
      <w:pPr>
        <w:ind w:left="360" w:hanging="360"/>
      </w:pPr>
      <w:rPr>
        <w:rFonts w:hint="default"/>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9A"/>
    <w:rsid w:val="00072F99"/>
    <w:rsid w:val="000B5000"/>
    <w:rsid w:val="000D45BA"/>
    <w:rsid w:val="00115D62"/>
    <w:rsid w:val="00123239"/>
    <w:rsid w:val="001532FD"/>
    <w:rsid w:val="00156973"/>
    <w:rsid w:val="0016431E"/>
    <w:rsid w:val="0016635A"/>
    <w:rsid w:val="0017269D"/>
    <w:rsid w:val="001A3FB9"/>
    <w:rsid w:val="001A7BD5"/>
    <w:rsid w:val="001A7BE0"/>
    <w:rsid w:val="0020202C"/>
    <w:rsid w:val="00257FCD"/>
    <w:rsid w:val="00273E9A"/>
    <w:rsid w:val="00280E3E"/>
    <w:rsid w:val="00287D41"/>
    <w:rsid w:val="002A450E"/>
    <w:rsid w:val="002B41C5"/>
    <w:rsid w:val="002F70CE"/>
    <w:rsid w:val="00373E27"/>
    <w:rsid w:val="0039777B"/>
    <w:rsid w:val="003D7DE6"/>
    <w:rsid w:val="003F6A9D"/>
    <w:rsid w:val="00412E0F"/>
    <w:rsid w:val="00480DE9"/>
    <w:rsid w:val="004B60D0"/>
    <w:rsid w:val="004C6A87"/>
    <w:rsid w:val="004D05B4"/>
    <w:rsid w:val="004D26D9"/>
    <w:rsid w:val="004D3DAE"/>
    <w:rsid w:val="004D549A"/>
    <w:rsid w:val="004E2383"/>
    <w:rsid w:val="004F3855"/>
    <w:rsid w:val="00516874"/>
    <w:rsid w:val="00527CF6"/>
    <w:rsid w:val="00575E76"/>
    <w:rsid w:val="0061016D"/>
    <w:rsid w:val="00626E68"/>
    <w:rsid w:val="00645605"/>
    <w:rsid w:val="006928AB"/>
    <w:rsid w:val="00693EC2"/>
    <w:rsid w:val="00694CE5"/>
    <w:rsid w:val="006C2809"/>
    <w:rsid w:val="006E3788"/>
    <w:rsid w:val="0073220E"/>
    <w:rsid w:val="00746C15"/>
    <w:rsid w:val="007B21E0"/>
    <w:rsid w:val="007D088D"/>
    <w:rsid w:val="007E1964"/>
    <w:rsid w:val="00813431"/>
    <w:rsid w:val="00821783"/>
    <w:rsid w:val="00842782"/>
    <w:rsid w:val="008525BA"/>
    <w:rsid w:val="008C4BBD"/>
    <w:rsid w:val="00911B1F"/>
    <w:rsid w:val="00927079"/>
    <w:rsid w:val="00932620"/>
    <w:rsid w:val="00972AEC"/>
    <w:rsid w:val="009E3FB5"/>
    <w:rsid w:val="00A06073"/>
    <w:rsid w:val="00A25E6C"/>
    <w:rsid w:val="00AB00AD"/>
    <w:rsid w:val="00AB7E9D"/>
    <w:rsid w:val="00AC4B00"/>
    <w:rsid w:val="00AC6FDC"/>
    <w:rsid w:val="00AD23DB"/>
    <w:rsid w:val="00B05B7E"/>
    <w:rsid w:val="00B549BE"/>
    <w:rsid w:val="00BB4777"/>
    <w:rsid w:val="00BE06EC"/>
    <w:rsid w:val="00BE16F3"/>
    <w:rsid w:val="00BF0F74"/>
    <w:rsid w:val="00C60C62"/>
    <w:rsid w:val="00C663A2"/>
    <w:rsid w:val="00CA3E83"/>
    <w:rsid w:val="00CE247F"/>
    <w:rsid w:val="00CF4082"/>
    <w:rsid w:val="00D57BC4"/>
    <w:rsid w:val="00D70B67"/>
    <w:rsid w:val="00D81132"/>
    <w:rsid w:val="00D90068"/>
    <w:rsid w:val="00D90569"/>
    <w:rsid w:val="00DF152B"/>
    <w:rsid w:val="00E04E18"/>
    <w:rsid w:val="00E5122B"/>
    <w:rsid w:val="00E565BD"/>
    <w:rsid w:val="00E77170"/>
    <w:rsid w:val="00E83E70"/>
    <w:rsid w:val="00EC24BB"/>
    <w:rsid w:val="00EE3167"/>
    <w:rsid w:val="00F0545F"/>
    <w:rsid w:val="00F326D1"/>
    <w:rsid w:val="00F569C2"/>
    <w:rsid w:val="00F64BA5"/>
    <w:rsid w:val="00F67FE5"/>
    <w:rsid w:val="00F743EB"/>
    <w:rsid w:val="00FA284C"/>
    <w:rsid w:val="00FD3517"/>
    <w:rsid w:val="00FF2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79264E-32F2-4C64-BF36-621982C2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E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E9A"/>
  </w:style>
  <w:style w:type="paragraph" w:styleId="Fuzeile">
    <w:name w:val="footer"/>
    <w:basedOn w:val="Standard"/>
    <w:link w:val="FuzeileZchn"/>
    <w:uiPriority w:val="99"/>
    <w:unhideWhenUsed/>
    <w:rsid w:val="00273E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E9A"/>
  </w:style>
  <w:style w:type="character" w:styleId="Zeilennummer">
    <w:name w:val="line number"/>
    <w:basedOn w:val="Absatz-Standardschriftart"/>
    <w:uiPriority w:val="99"/>
    <w:semiHidden/>
    <w:unhideWhenUsed/>
    <w:rsid w:val="00E04E18"/>
    <w:rPr>
      <w:rFonts w:ascii="Constantia" w:hAnsi="Constantia"/>
      <w:sz w:val="20"/>
    </w:rPr>
  </w:style>
  <w:style w:type="paragraph" w:styleId="Listenabsatz">
    <w:name w:val="List Paragraph"/>
    <w:basedOn w:val="Standard"/>
    <w:uiPriority w:val="34"/>
    <w:qFormat/>
    <w:rsid w:val="001A3FB9"/>
    <w:pPr>
      <w:ind w:left="720"/>
      <w:contextualSpacing/>
    </w:pPr>
  </w:style>
  <w:style w:type="paragraph" w:styleId="Funotentext">
    <w:name w:val="footnote text"/>
    <w:basedOn w:val="Standard"/>
    <w:link w:val="FunotentextZchn"/>
    <w:uiPriority w:val="99"/>
    <w:semiHidden/>
    <w:unhideWhenUsed/>
    <w:rsid w:val="003977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9777B"/>
    <w:rPr>
      <w:sz w:val="20"/>
      <w:szCs w:val="20"/>
    </w:rPr>
  </w:style>
  <w:style w:type="character" w:styleId="Funotenzeichen">
    <w:name w:val="footnote reference"/>
    <w:basedOn w:val="Absatz-Standardschriftart"/>
    <w:uiPriority w:val="99"/>
    <w:semiHidden/>
    <w:unhideWhenUsed/>
    <w:rsid w:val="0039777B"/>
    <w:rPr>
      <w:vertAlign w:val="superscript"/>
    </w:rPr>
  </w:style>
  <w:style w:type="paragraph" w:styleId="Sprechblasentext">
    <w:name w:val="Balloon Text"/>
    <w:basedOn w:val="Standard"/>
    <w:link w:val="SprechblasentextZchn"/>
    <w:uiPriority w:val="99"/>
    <w:semiHidden/>
    <w:unhideWhenUsed/>
    <w:rsid w:val="002020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202C"/>
    <w:rPr>
      <w:rFonts w:ascii="Segoe UI" w:hAnsi="Segoe UI" w:cs="Segoe UI"/>
      <w:sz w:val="18"/>
      <w:szCs w:val="18"/>
    </w:rPr>
  </w:style>
  <w:style w:type="table" w:styleId="Tabellenraster">
    <w:name w:val="Table Grid"/>
    <w:basedOn w:val="NormaleTabelle"/>
    <w:uiPriority w:val="39"/>
    <w:rsid w:val="00AC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AC6F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B05B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7087">
      <w:bodyDiv w:val="1"/>
      <w:marLeft w:val="0"/>
      <w:marRight w:val="0"/>
      <w:marTop w:val="0"/>
      <w:marBottom w:val="0"/>
      <w:divBdr>
        <w:top w:val="none" w:sz="0" w:space="0" w:color="auto"/>
        <w:left w:val="none" w:sz="0" w:space="0" w:color="auto"/>
        <w:bottom w:val="none" w:sz="0" w:space="0" w:color="auto"/>
        <w:right w:val="none" w:sz="0" w:space="0" w:color="auto"/>
      </w:divBdr>
    </w:div>
    <w:div w:id="486284009">
      <w:bodyDiv w:val="1"/>
      <w:marLeft w:val="0"/>
      <w:marRight w:val="0"/>
      <w:marTop w:val="0"/>
      <w:marBottom w:val="0"/>
      <w:divBdr>
        <w:top w:val="none" w:sz="0" w:space="0" w:color="auto"/>
        <w:left w:val="none" w:sz="0" w:space="0" w:color="auto"/>
        <w:bottom w:val="none" w:sz="0" w:space="0" w:color="auto"/>
        <w:right w:val="none" w:sz="0" w:space="0" w:color="auto"/>
      </w:divBdr>
    </w:div>
    <w:div w:id="525603340">
      <w:bodyDiv w:val="1"/>
      <w:marLeft w:val="0"/>
      <w:marRight w:val="0"/>
      <w:marTop w:val="0"/>
      <w:marBottom w:val="0"/>
      <w:divBdr>
        <w:top w:val="none" w:sz="0" w:space="0" w:color="auto"/>
        <w:left w:val="none" w:sz="0" w:space="0" w:color="auto"/>
        <w:bottom w:val="none" w:sz="0" w:space="0" w:color="auto"/>
        <w:right w:val="none" w:sz="0" w:space="0" w:color="auto"/>
      </w:divBdr>
    </w:div>
    <w:div w:id="127887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6A91C-6CCD-4F6C-81E4-4E28E070E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2590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Unterrichtseinheit: Moralphilosophie</vt:lpstr>
    </vt:vector>
  </TitlesOfParts>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Unterrichtseinheit: Moralphilosophie</dc:title>
  <dc:subject/>
  <dc:creator>Anna Pegam</dc:creator>
  <cp:keywords/>
  <dc:description/>
  <cp:lastModifiedBy>Anna Pegam</cp:lastModifiedBy>
  <cp:revision>6</cp:revision>
  <cp:lastPrinted>2019-05-13T17:07:00Z</cp:lastPrinted>
  <dcterms:created xsi:type="dcterms:W3CDTF">2019-05-21T12:38:00Z</dcterms:created>
  <dcterms:modified xsi:type="dcterms:W3CDTF">2019-06-22T12:58:00Z</dcterms:modified>
</cp:coreProperties>
</file>