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9" w:rsidRDefault="00F774C9" w:rsidP="004F61ED">
      <w:pPr>
        <w:suppressLineNumbers/>
        <w:spacing w:after="120" w:line="240" w:lineRule="auto"/>
        <w:ind w:left="567" w:right="849"/>
        <w:jc w:val="both"/>
        <w:rPr>
          <w:rFonts w:ascii="Constantia" w:hAnsi="Constantia" w:cs="Palatino-Roman"/>
          <w:color w:val="000000" w:themeColor="text1"/>
        </w:rPr>
      </w:pPr>
      <w:r w:rsidRPr="00C824F3">
        <w:rPr>
          <w:rFonts w:ascii="Constantia" w:hAnsi="Constantia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317500</wp:posOffset>
                </wp:positionV>
                <wp:extent cx="6153150" cy="342900"/>
                <wp:effectExtent l="0" t="0" r="1905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C32C8C" w:rsidP="00C824F3">
                            <w:pPr>
                              <w:ind w:left="284"/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8"/>
                              </w:rPr>
                              <w:t>Pränatale Diagnostik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05pt;margin-top:25pt;width:484.5pt;height:27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" strokecolor="white [3212]">
                <v:textbox>
                  <w:txbxContent>
                    <w:p w:rsidR="00156973" w:rsidRDefault="00C32C8C" w:rsidP="00C824F3">
                      <w:pPr>
                        <w:ind w:left="284"/>
                      </w:pPr>
                      <w:r>
                        <w:rPr>
                          <w:rFonts w:ascii="Nirmala UI" w:hAnsi="Nirmala UI" w:cs="Nirmala UI"/>
                          <w:b/>
                          <w:color w:val="000000" w:themeColor="text1"/>
                          <w:sz w:val="28"/>
                        </w:rPr>
                        <w:t>Pränatale Diagnostik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4F2" w:rsidRDefault="005B54F2" w:rsidP="007D7DF1">
      <w:pPr>
        <w:suppressLineNumbers/>
        <w:tabs>
          <w:tab w:val="left" w:pos="9356"/>
        </w:tabs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C824F3" w:rsidRPr="00C32C8C" w:rsidRDefault="00C32C8C" w:rsidP="00E37348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  <w:lang w:val="en-GB"/>
        </w:rPr>
      </w:pPr>
      <w:r w:rsidRPr="00C32C8C">
        <w:rPr>
          <w:rFonts w:ascii="Constantia" w:hAnsi="Constantia" w:cs="Palatino-Roman"/>
          <w:color w:val="000000" w:themeColor="text1"/>
        </w:rPr>
        <w:t>Eine 41-jährige Frau wurde unerwartet schwanger und wurde von ihrem Hausarzt an eine hu</w:t>
      </w:r>
      <w:r w:rsidRPr="00C32C8C">
        <w:rPr>
          <w:rFonts w:ascii="Constantia" w:hAnsi="Constantia" w:cs="Palatino-Roman"/>
          <w:color w:val="000000" w:themeColor="text1"/>
        </w:rPr>
        <w:softHyphen/>
        <w:t>mangenetische Beratungszentrale verwiesen, um festzustellen, ob ihr Fötus möglicherweise das Down-Syndrom (Mongoloismus) hat. Eine Amniozentese (Fruchtwasseruntersuchung) zeigte, dass der Fötus nicht unter dem Down-Syndrom litt, jedoch wiesen seine Geschlechts-Chromosomen eine Anomalie auf: Er hatte ein X- und zwei Y-Chromosomen anstatt der nor</w:t>
      </w:r>
      <w:r w:rsidRPr="00C32C8C">
        <w:rPr>
          <w:rFonts w:ascii="Constantia" w:hAnsi="Constantia" w:cs="Palatino-Roman"/>
          <w:color w:val="000000" w:themeColor="text1"/>
        </w:rPr>
        <w:softHyphen/>
        <w:t>malen XY-Kombination bei Männern oder XX-Kombination bei Frauen. Die Bedeutung des überzähligen Y-Chromosoms ist umstritten. Obwohl einige Untersuchungen darauf hindeuten, dass Männer mit XYY-Chromosomen mehr Gewaltverbrechen begehen, weisen andere Stu</w:t>
      </w:r>
      <w:r w:rsidRPr="00C32C8C">
        <w:rPr>
          <w:rFonts w:ascii="Constantia" w:hAnsi="Constantia" w:cs="Palatino-Roman"/>
          <w:color w:val="000000" w:themeColor="text1"/>
        </w:rPr>
        <w:softHyphen/>
        <w:t xml:space="preserve">dien diese Hypothese zurück. </w:t>
      </w:r>
      <w:r w:rsidRPr="00C32C8C">
        <w:rPr>
          <w:rFonts w:ascii="Constantia" w:hAnsi="Constantia" w:cs="Palatino-Roman"/>
          <w:color w:val="000000" w:themeColor="text1"/>
          <w:lang w:val="en-GB"/>
        </w:rPr>
        <w:t>Sollte die Frau ihr ungeborenes Kind abtreiben lassen?</w:t>
      </w:r>
      <w:r w:rsidR="00C824F3" w:rsidRPr="00C32C8C">
        <w:rPr>
          <w:rFonts w:ascii="Constantia" w:hAnsi="Constantia" w:cs="Palatino-Roman"/>
          <w:color w:val="000000" w:themeColor="text1"/>
          <w:lang w:val="en-GB"/>
        </w:rPr>
        <w:t xml:space="preserve"> </w:t>
      </w:r>
    </w:p>
    <w:p w:rsidR="00F774C9" w:rsidRPr="00C32C8C" w:rsidRDefault="00F774C9" w:rsidP="00E3734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  <w:lang w:val="en-GB"/>
        </w:rPr>
      </w:pPr>
    </w:p>
    <w:p w:rsidR="00C32C8C" w:rsidRPr="00684CCF" w:rsidRDefault="00684CCF" w:rsidP="00684CCF">
      <w:pPr>
        <w:suppressLineNumbers/>
        <w:spacing w:after="120" w:line="240" w:lineRule="auto"/>
        <w:ind w:left="567" w:right="850"/>
        <w:jc w:val="right"/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</w:pPr>
      <w:r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nach </w:t>
      </w:r>
      <w:r w:rsidR="00A22059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Beauchamp</w:t>
      </w:r>
      <w:r w:rsidR="00A22059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,</w:t>
      </w:r>
      <w:r w:rsidR="00A22059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C32C8C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Tom L.</w:t>
      </w:r>
      <w:r w:rsidR="00A22059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;</w:t>
      </w:r>
      <w:r w:rsidR="00C32C8C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A22059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Childress</w:t>
      </w:r>
      <w:r w:rsidR="00A22059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,</w:t>
      </w:r>
      <w:r w:rsidR="00A22059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C32C8C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James F.: </w:t>
      </w:r>
      <w:r w:rsidR="00A22059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Principles of Biomedical Ethics.</w:t>
      </w:r>
      <w:r w:rsidR="00C32C8C" w:rsidRPr="00C32C8C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A22059" w:rsidRPr="00684CCF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Oxford University Press, New York – Oxford </w:t>
      </w:r>
      <w:r w:rsidR="00C32C8C" w:rsidRPr="00684CCF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1994 (4</w:t>
      </w:r>
      <w:r w:rsidR="00C32C8C" w:rsidRPr="00684CCF">
        <w:rPr>
          <w:rFonts w:ascii="Constantia" w:hAnsi="Constantia" w:cs="Palatino-Roman"/>
          <w:i/>
          <w:color w:val="000000" w:themeColor="text1"/>
          <w:sz w:val="18"/>
          <w:szCs w:val="18"/>
          <w:vertAlign w:val="superscript"/>
          <w:lang w:val="en-GB"/>
        </w:rPr>
        <w:t>th</w:t>
      </w:r>
      <w:r w:rsidR="00C32C8C" w:rsidRPr="00684CCF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Ed.), S. 403</w:t>
      </w:r>
    </w:p>
    <w:p w:rsidR="000A3FFE" w:rsidRPr="00684CCF" w:rsidRDefault="000A3FFE" w:rsidP="00684CCF">
      <w:pPr>
        <w:suppressLineNumbers/>
        <w:spacing w:after="120" w:line="240" w:lineRule="auto"/>
        <w:ind w:left="567" w:right="850"/>
        <w:rPr>
          <w:rFonts w:ascii="Constantia" w:hAnsi="Constantia" w:cs="Palatino-Roman"/>
          <w:color w:val="000000" w:themeColor="text1"/>
          <w:sz w:val="21"/>
          <w:szCs w:val="21"/>
          <w:lang w:val="en-GB"/>
        </w:rPr>
      </w:pPr>
    </w:p>
    <w:p w:rsidR="000A3FFE" w:rsidRPr="00684CCF" w:rsidRDefault="000A3FFE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color w:val="000000" w:themeColor="text1"/>
          <w:sz w:val="21"/>
          <w:szCs w:val="21"/>
          <w:lang w:val="en-GB"/>
        </w:rPr>
      </w:pPr>
    </w:p>
    <w:p w:rsidR="009A4C11" w:rsidRPr="00684CCF" w:rsidRDefault="00A2205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posOffset>946785</wp:posOffset>
                </wp:positionH>
                <wp:positionV relativeFrom="margin">
                  <wp:posOffset>3816350</wp:posOffset>
                </wp:positionV>
                <wp:extent cx="4572000" cy="2752725"/>
                <wp:effectExtent l="0" t="0" r="19050" b="28575"/>
                <wp:wrapTight wrapText="largest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527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C824F3" w:rsidP="005B54F2">
                            <w:pPr>
                              <w:suppressLineNumbers/>
                              <w:spacing w:after="120" w:line="240" w:lineRule="auto"/>
                              <w:ind w:right="-79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Weiterführende Diskussionsfragen:</w:t>
                            </w:r>
                          </w:p>
                          <w:p w:rsidR="00B03E51" w:rsidRDefault="00C32C8C" w:rsidP="00B03E5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C32C8C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Sollte der Arzt die Schwangere 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überhaupt </w:t>
                            </w:r>
                            <w:r w:rsidRPr="00C32C8C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über diese Chromosomen-Ano</w:t>
                            </w:r>
                            <w:r w:rsidRPr="00C32C8C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softHyphen/>
                              <w:t>malie informieren?</w:t>
                            </w:r>
                          </w:p>
                          <w:p w:rsidR="000C5C68" w:rsidRDefault="000C5C68" w:rsidP="000C5C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Hätte die Frau die Untersuchung besser gar nicht erst machen sollen?</w:t>
                            </w:r>
                          </w:p>
                          <w:p w:rsidR="00262B9F" w:rsidRDefault="00262B9F" w:rsidP="000C5C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Gäbe es einen Test, der den Charakter eines Embryos feststellen könnte, sollte dieser angewendet werden?</w:t>
                            </w:r>
                          </w:p>
                          <w:p w:rsidR="00C72643" w:rsidRDefault="00C72643" w:rsidP="000C5C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Sollte die pränatale Untersuchung auf das Down-Syndrom für Schwangere verpflichtend sein?</w:t>
                            </w:r>
                          </w:p>
                          <w:p w:rsidR="00262B9F" w:rsidRPr="00262B9F" w:rsidRDefault="00C72643" w:rsidP="00262B9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Welche Konsequenzen ergäben sich aus</w:t>
                            </w:r>
                            <w:r w:rsidR="00510BE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dieser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B9F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Verpflichtung?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left:0;text-align:left;margin-left:74.55pt;margin-top:300.5pt;width:5in;height:216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" fillcolor="white [3201]" strokecolor="#bfbfbf [2412]" strokeweight="1.5pt">
                <v:textbox inset="4mm,4mm,4mm,4mm">
                  <w:txbxContent>
                    <w:p w:rsidR="00527CF6" w:rsidRPr="00480DE9" w:rsidRDefault="00C824F3" w:rsidP="005B54F2">
                      <w:pPr>
                        <w:suppressLineNumbers/>
                        <w:spacing w:after="120" w:line="240" w:lineRule="auto"/>
                        <w:ind w:right="-79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szCs w:val="19"/>
                        </w:rPr>
                        <w:t>Weiterführende Diskussionsfragen:</w:t>
                      </w:r>
                    </w:p>
                    <w:p w:rsidR="00B03E51" w:rsidRDefault="00C32C8C" w:rsidP="00B03E5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C32C8C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Sollte der Arzt die Schwangere 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überhaupt </w:t>
                      </w:r>
                      <w:r w:rsidRPr="00C32C8C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über diese Chromosomen-Ano</w:t>
                      </w:r>
                      <w:r w:rsidRPr="00C32C8C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softHyphen/>
                        <w:t>malie informieren?</w:t>
                      </w:r>
                    </w:p>
                    <w:p w:rsidR="000C5C68" w:rsidRDefault="000C5C68" w:rsidP="000C5C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Hätte die Frau die Untersuchung besser gar nicht erst machen sollen?</w:t>
                      </w:r>
                    </w:p>
                    <w:p w:rsidR="00262B9F" w:rsidRDefault="00262B9F" w:rsidP="000C5C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Gäbe es einen Test, der den Charakter eines Embryos feststellen könnte, sollte dieser angewendet werden?</w:t>
                      </w:r>
                    </w:p>
                    <w:p w:rsidR="00C72643" w:rsidRDefault="00C72643" w:rsidP="000C5C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Sollte die pränatale Untersuchung auf das Down-Syndrom für Schwangere verpflichtend sein?</w:t>
                      </w:r>
                    </w:p>
                    <w:p w:rsidR="00262B9F" w:rsidRPr="00262B9F" w:rsidRDefault="00C72643" w:rsidP="00262B9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Welche Konsequenzen ergäben sich aus</w:t>
                      </w:r>
                      <w:r w:rsidR="00510BE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dieser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r w:rsidR="00262B9F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Verpflichtung?</w:t>
                      </w:r>
                    </w:p>
                  </w:txbxContent>
                </v:textbox>
                <w10:wrap type="tight" side="largest" anchorx="margin" anchory="margin"/>
              </v:rect>
            </w:pict>
          </mc:Fallback>
        </mc:AlternateContent>
      </w:r>
    </w:p>
    <w:p w:rsidR="00AF1A71" w:rsidRPr="00684CCF" w:rsidRDefault="00AF1A71" w:rsidP="00E2121D">
      <w:pPr>
        <w:suppressLineNumbers/>
        <w:spacing w:after="120" w:line="240" w:lineRule="auto"/>
        <w:ind w:left="567"/>
        <w:jc w:val="center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AF1A71" w:rsidRPr="00684CCF" w:rsidRDefault="00AF1A71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684CCF" w:rsidRDefault="00F774C9" w:rsidP="00E2121D">
      <w:pPr>
        <w:suppressLineNumbers/>
        <w:spacing w:after="120" w:line="240" w:lineRule="auto"/>
        <w:ind w:left="567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E2121D" w:rsidRPr="00684CCF" w:rsidRDefault="00E2121D" w:rsidP="00E2121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A06AD2" w:rsidRPr="00684CCF" w:rsidRDefault="00A06AD2" w:rsidP="00684CCF">
      <w:pPr>
        <w:suppressLineNumbers/>
        <w:spacing w:after="0" w:line="240" w:lineRule="auto"/>
        <w:ind w:left="567" w:right="708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</w:p>
    <w:p w:rsidR="00D90068" w:rsidRPr="00684CCF" w:rsidRDefault="005B54F2" w:rsidP="00684CCF">
      <w:pPr>
        <w:suppressLineNumbers/>
        <w:spacing w:after="120" w:line="240" w:lineRule="auto"/>
        <w:ind w:left="567" w:right="708"/>
        <w:rPr>
          <w:rFonts w:ascii="Constantia" w:hAnsi="Constantia" w:cs="Palatino-Roman"/>
          <w:b/>
          <w:color w:val="000000" w:themeColor="text1"/>
          <w:sz w:val="18"/>
          <w:szCs w:val="16"/>
        </w:rPr>
      </w:pPr>
      <w:r w:rsidRPr="00684CCF">
        <w:rPr>
          <w:b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8051165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9" w:rsidRPr="00684CCF">
        <w:rPr>
          <w:rFonts w:ascii="Constantia" w:hAnsi="Constantia" w:cs="Palatino-Roman"/>
          <w:b/>
          <w:noProof/>
          <w:color w:val="000000" w:themeColor="text1"/>
          <w:sz w:val="20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-255905</wp:posOffset>
                </wp:positionH>
                <wp:positionV relativeFrom="page">
                  <wp:posOffset>10099040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684CCF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blaue reiter </w:t>
                            </w:r>
                            <w:bookmarkStart w:id="0" w:name="_GoBack"/>
                            <w:bookmarkEnd w:id="0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e.K.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-20.15pt;margin-top:795.2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6pgg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684CCF">
                        <w:rPr>
                          <w:rFonts w:ascii="Nirmala UI" w:hAnsi="Nirmala UI" w:cs="Nirmala UI"/>
                          <w:sz w:val="14"/>
                        </w:rPr>
                        <w:t xml:space="preserve">der blaue reiter </w:t>
                      </w:r>
                      <w:bookmarkStart w:id="1" w:name="_GoBack"/>
                      <w:bookmarkEnd w:id="1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e.K.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2121D" w:rsidRPr="00684CCF">
        <w:rPr>
          <w:rFonts w:ascii="Constantia" w:hAnsi="Constantia" w:cs="Palatino-Roman"/>
          <w:b/>
          <w:color w:val="000000" w:themeColor="text1"/>
          <w:sz w:val="18"/>
          <w:szCs w:val="16"/>
        </w:rPr>
        <w:t>Zur Vertiefung empfohlen:</w:t>
      </w:r>
    </w:p>
    <w:p w:rsidR="00E2121D" w:rsidRPr="00684CCF" w:rsidRDefault="00A22059" w:rsidP="00684CCF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</w:rPr>
      </w:pPr>
      <w:r w:rsidRPr="00684CCF">
        <w:rPr>
          <w:rFonts w:ascii="Constantia" w:hAnsi="Constantia" w:cs="Palatino-Roman"/>
          <w:color w:val="000000" w:themeColor="text1"/>
          <w:sz w:val="18"/>
          <w:szCs w:val="16"/>
        </w:rPr>
        <w:t xml:space="preserve">Zoglauer, </w:t>
      </w:r>
      <w:r w:rsidR="00E2121D" w:rsidRPr="00684CCF">
        <w:rPr>
          <w:rFonts w:ascii="Constantia" w:hAnsi="Constantia" w:cs="Palatino-Roman"/>
          <w:color w:val="000000" w:themeColor="text1"/>
          <w:sz w:val="18"/>
          <w:szCs w:val="16"/>
        </w:rPr>
        <w:t>Thomas: Ethische Konflikte zwischen Leben und Tod. Über entführte Flugzeuge und selbstfahrende Autos. der blaue reiter V</w:t>
      </w:r>
      <w:r w:rsidRPr="00684CCF">
        <w:rPr>
          <w:rFonts w:ascii="Constantia" w:hAnsi="Constantia" w:cs="Palatino-Roman"/>
          <w:color w:val="000000" w:themeColor="text1"/>
          <w:sz w:val="18"/>
          <w:szCs w:val="16"/>
        </w:rPr>
        <w:t>erlag für Philosophie, Hannover</w:t>
      </w:r>
      <w:r w:rsidR="00E2121D" w:rsidRPr="00684CCF">
        <w:rPr>
          <w:rFonts w:ascii="Constantia" w:hAnsi="Constantia" w:cs="Palatino-Roman"/>
          <w:color w:val="000000" w:themeColor="text1"/>
          <w:sz w:val="18"/>
          <w:szCs w:val="16"/>
        </w:rPr>
        <w:t xml:space="preserve"> 2017</w:t>
      </w:r>
    </w:p>
    <w:p w:rsidR="00A22059" w:rsidRPr="00684CCF" w:rsidRDefault="00A22059" w:rsidP="00684CCF">
      <w:pPr>
        <w:suppressLineNumbers/>
        <w:spacing w:after="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</w:rPr>
      </w:pPr>
      <w:r w:rsidRPr="00684CCF">
        <w:rPr>
          <w:rFonts w:ascii="Constantia" w:hAnsi="Constantia" w:cs="Palatino-Roman"/>
          <w:color w:val="000000" w:themeColor="text1"/>
          <w:sz w:val="18"/>
          <w:szCs w:val="16"/>
        </w:rPr>
        <w:t xml:space="preserve">Zoglauer, Thomas: Konstruiertes Leben. Ethische Probleme der Humangentechnik. Wissenschaftliche </w:t>
      </w:r>
      <w:r w:rsidR="00684CCF">
        <w:rPr>
          <w:rFonts w:ascii="Constantia" w:hAnsi="Constantia" w:cs="Palatino-Roman"/>
          <w:color w:val="000000" w:themeColor="text1"/>
          <w:sz w:val="18"/>
          <w:szCs w:val="16"/>
        </w:rPr>
        <w:t>B</w:t>
      </w:r>
      <w:r w:rsidRPr="00684CCF">
        <w:rPr>
          <w:rFonts w:ascii="Constantia" w:hAnsi="Constantia" w:cs="Palatino-Roman"/>
          <w:color w:val="000000" w:themeColor="text1"/>
          <w:sz w:val="18"/>
          <w:szCs w:val="16"/>
        </w:rPr>
        <w:t>uchgesellschaft, Darmstadt 2002, S. 36 f.</w:t>
      </w:r>
    </w:p>
    <w:sectPr w:rsidR="00A22059" w:rsidRPr="00684CCF" w:rsidSect="005B54F2">
      <w:headerReference w:type="default" r:id="rId9"/>
      <w:pgSz w:w="11906" w:h="16838"/>
      <w:pgMar w:top="567" w:right="566" w:bottom="1135" w:left="1134" w:header="569" w:footer="283" w:gutter="0"/>
      <w:lnNumType w:countBy="5" w:distance="6" w:restart="continuous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50" w:rsidRDefault="009A7250" w:rsidP="00273E9A">
      <w:pPr>
        <w:spacing w:after="0" w:line="240" w:lineRule="auto"/>
      </w:pPr>
      <w:r>
        <w:separator/>
      </w:r>
    </w:p>
  </w:endnote>
  <w:endnote w:type="continuationSeparator" w:id="0">
    <w:p w:rsidR="009A7250" w:rsidRDefault="009A7250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50" w:rsidRDefault="009A7250" w:rsidP="00273E9A">
      <w:pPr>
        <w:spacing w:after="0" w:line="240" w:lineRule="auto"/>
      </w:pPr>
      <w:r>
        <w:separator/>
      </w:r>
    </w:p>
  </w:footnote>
  <w:footnote w:type="continuationSeparator" w:id="0">
    <w:p w:rsidR="009A7250" w:rsidRDefault="009A7250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9219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3969"/>
      <w:gridCol w:w="3969"/>
    </w:tblGrid>
    <w:tr w:rsidR="00D62E87" w:rsidTr="004F61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D62E87" w:rsidRPr="007D088D" w:rsidRDefault="00D62E87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0CC63901" wp14:editId="2B85A432">
                <wp:simplePos x="0" y="0"/>
                <wp:positionH relativeFrom="column">
                  <wp:posOffset>110490</wp:posOffset>
                </wp:positionH>
                <wp:positionV relativeFrom="paragraph">
                  <wp:posOffset>0</wp:posOffset>
                </wp:positionV>
                <wp:extent cx="400050" cy="669868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ight>
                <wp:docPr id="35" name="Grafik 3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D62E87" w:rsidRDefault="00D62E87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>
            <w:rPr>
              <w:rFonts w:ascii="Nirmala UI" w:hAnsi="Nirmala UI" w:cs="Nirmala UI"/>
              <w:bCs w:val="0"/>
              <w:sz w:val="20"/>
              <w:szCs w:val="20"/>
            </w:rPr>
            <w:t>Strukturierte Dilemma-Diskussion</w:t>
          </w:r>
        </w:p>
      </w:tc>
    </w:tr>
    <w:tr w:rsidR="007D7DF1" w:rsidTr="008836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7D7DF1" w:rsidRPr="00527CF6" w:rsidRDefault="007D7DF1" w:rsidP="00D62E87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7D7DF1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 xml:space="preserve">Normenkonflikt Nr. </w:t>
          </w:r>
          <w:r w:rsidR="00E37348">
            <w:rPr>
              <w:rFonts w:ascii="Nirmala UI" w:hAnsi="Nirmala UI" w:cs="Nirmala UI"/>
              <w:sz w:val="20"/>
              <w:szCs w:val="20"/>
            </w:rPr>
            <w:t>2</w:t>
          </w:r>
          <w:r w:rsidR="006276A5">
            <w:rPr>
              <w:rFonts w:ascii="Nirmala UI" w:hAnsi="Nirmala UI" w:cs="Nirmala UI"/>
              <w:sz w:val="20"/>
              <w:szCs w:val="20"/>
            </w:rPr>
            <w:t>2</w:t>
          </w: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6276A5" w:rsidP="005B54F2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Pränatale Diagnostik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1D08"/>
    <w:multiLevelType w:val="hybridMultilevel"/>
    <w:tmpl w:val="D70A4F6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7E3363"/>
    <w:multiLevelType w:val="hybridMultilevel"/>
    <w:tmpl w:val="2C7AA902"/>
    <w:lvl w:ilvl="0" w:tplc="294E09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E389C"/>
    <w:multiLevelType w:val="hybridMultilevel"/>
    <w:tmpl w:val="FFB0C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90938"/>
    <w:rsid w:val="000A3FFE"/>
    <w:rsid w:val="000B5000"/>
    <w:rsid w:val="000C5C68"/>
    <w:rsid w:val="000D45BA"/>
    <w:rsid w:val="000F7300"/>
    <w:rsid w:val="00115D62"/>
    <w:rsid w:val="00123239"/>
    <w:rsid w:val="001532FD"/>
    <w:rsid w:val="00156973"/>
    <w:rsid w:val="0016431E"/>
    <w:rsid w:val="0016635A"/>
    <w:rsid w:val="0016714B"/>
    <w:rsid w:val="0017269D"/>
    <w:rsid w:val="001A3FB9"/>
    <w:rsid w:val="001A7BD5"/>
    <w:rsid w:val="001A7BE0"/>
    <w:rsid w:val="0020202C"/>
    <w:rsid w:val="00257FCD"/>
    <w:rsid w:val="00262B9F"/>
    <w:rsid w:val="00273E9A"/>
    <w:rsid w:val="00287D41"/>
    <w:rsid w:val="002A450E"/>
    <w:rsid w:val="002A543A"/>
    <w:rsid w:val="002F70CE"/>
    <w:rsid w:val="00332BA0"/>
    <w:rsid w:val="00373E27"/>
    <w:rsid w:val="0039777B"/>
    <w:rsid w:val="003F6A9D"/>
    <w:rsid w:val="00400A9B"/>
    <w:rsid w:val="00480DE9"/>
    <w:rsid w:val="004A24DD"/>
    <w:rsid w:val="004B60D0"/>
    <w:rsid w:val="004D05B4"/>
    <w:rsid w:val="004D26D9"/>
    <w:rsid w:val="004D3DAE"/>
    <w:rsid w:val="004D549A"/>
    <w:rsid w:val="004E2383"/>
    <w:rsid w:val="004F3855"/>
    <w:rsid w:val="004F61ED"/>
    <w:rsid w:val="00510BEA"/>
    <w:rsid w:val="00516874"/>
    <w:rsid w:val="00527CF6"/>
    <w:rsid w:val="00575E76"/>
    <w:rsid w:val="005B54F2"/>
    <w:rsid w:val="0061016D"/>
    <w:rsid w:val="00626E68"/>
    <w:rsid w:val="006276A5"/>
    <w:rsid w:val="00635248"/>
    <w:rsid w:val="00645605"/>
    <w:rsid w:val="0066790E"/>
    <w:rsid w:val="00684CCF"/>
    <w:rsid w:val="006928AB"/>
    <w:rsid w:val="00693EC2"/>
    <w:rsid w:val="00694CE5"/>
    <w:rsid w:val="006C2809"/>
    <w:rsid w:val="006E3788"/>
    <w:rsid w:val="00710449"/>
    <w:rsid w:val="00716EE9"/>
    <w:rsid w:val="00746C15"/>
    <w:rsid w:val="00792C11"/>
    <w:rsid w:val="007B21E0"/>
    <w:rsid w:val="007D088D"/>
    <w:rsid w:val="007D7DF1"/>
    <w:rsid w:val="00813431"/>
    <w:rsid w:val="00842782"/>
    <w:rsid w:val="008525BA"/>
    <w:rsid w:val="008C5A1B"/>
    <w:rsid w:val="00911B1F"/>
    <w:rsid w:val="00927079"/>
    <w:rsid w:val="00932620"/>
    <w:rsid w:val="00974BC9"/>
    <w:rsid w:val="009A4C11"/>
    <w:rsid w:val="009A7250"/>
    <w:rsid w:val="00A06073"/>
    <w:rsid w:val="00A06AD2"/>
    <w:rsid w:val="00A22059"/>
    <w:rsid w:val="00A25E6C"/>
    <w:rsid w:val="00AB00AD"/>
    <w:rsid w:val="00AB7E9D"/>
    <w:rsid w:val="00AC6FDC"/>
    <w:rsid w:val="00AD23DB"/>
    <w:rsid w:val="00AF1A71"/>
    <w:rsid w:val="00B03E51"/>
    <w:rsid w:val="00B549BE"/>
    <w:rsid w:val="00BB4777"/>
    <w:rsid w:val="00BD169F"/>
    <w:rsid w:val="00BE06EC"/>
    <w:rsid w:val="00BE16F3"/>
    <w:rsid w:val="00BF0F74"/>
    <w:rsid w:val="00C32C8C"/>
    <w:rsid w:val="00C60C62"/>
    <w:rsid w:val="00C663A2"/>
    <w:rsid w:val="00C66C53"/>
    <w:rsid w:val="00C72643"/>
    <w:rsid w:val="00C824F3"/>
    <w:rsid w:val="00CA3E83"/>
    <w:rsid w:val="00CF4082"/>
    <w:rsid w:val="00CF458D"/>
    <w:rsid w:val="00D07CCD"/>
    <w:rsid w:val="00D57BC4"/>
    <w:rsid w:val="00D62E87"/>
    <w:rsid w:val="00D70B67"/>
    <w:rsid w:val="00D81132"/>
    <w:rsid w:val="00D90068"/>
    <w:rsid w:val="00D90569"/>
    <w:rsid w:val="00E04E18"/>
    <w:rsid w:val="00E2121D"/>
    <w:rsid w:val="00E37348"/>
    <w:rsid w:val="00E5122B"/>
    <w:rsid w:val="00E565BD"/>
    <w:rsid w:val="00E83E70"/>
    <w:rsid w:val="00EC24BB"/>
    <w:rsid w:val="00EE3167"/>
    <w:rsid w:val="00F0545F"/>
    <w:rsid w:val="00F326D1"/>
    <w:rsid w:val="00F33458"/>
    <w:rsid w:val="00F569C2"/>
    <w:rsid w:val="00F60B71"/>
    <w:rsid w:val="00F64BA5"/>
    <w:rsid w:val="00F67FE5"/>
    <w:rsid w:val="00F743EB"/>
    <w:rsid w:val="00F774C9"/>
    <w:rsid w:val="00FA284C"/>
    <w:rsid w:val="00FC0671"/>
    <w:rsid w:val="00FD3517"/>
    <w:rsid w:val="00FE5B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1B14-AFCE-4FFA-A70C-997D7706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12</cp:revision>
  <cp:lastPrinted>2019-05-21T12:01:00Z</cp:lastPrinted>
  <dcterms:created xsi:type="dcterms:W3CDTF">2019-06-04T08:49:00Z</dcterms:created>
  <dcterms:modified xsi:type="dcterms:W3CDTF">2019-06-22T12:39:00Z</dcterms:modified>
</cp:coreProperties>
</file>