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C9" w:rsidRPr="001825D4" w:rsidRDefault="00F774C9" w:rsidP="004F61ED">
      <w:pPr>
        <w:suppressLineNumbers/>
        <w:spacing w:after="120" w:line="240" w:lineRule="auto"/>
        <w:ind w:left="567" w:right="849"/>
        <w:jc w:val="both"/>
        <w:rPr>
          <w:rFonts w:ascii="Constantia" w:hAnsi="Constantia" w:cs="Palatino-Roman"/>
          <w:color w:val="000000" w:themeColor="text1"/>
          <w:sz w:val="16"/>
        </w:rPr>
      </w:pPr>
      <w:r w:rsidRPr="001825D4">
        <w:rPr>
          <w:rFonts w:ascii="Constantia" w:hAnsi="Constantia"/>
          <w:b/>
          <w:noProof/>
          <w:color w:val="000000" w:themeColor="text1"/>
          <w:sz w:val="16"/>
          <w:lang w:eastAsia="de-DE"/>
        </w:rPr>
        <mc:AlternateContent>
          <mc:Choice Requires="wps">
            <w:drawing>
              <wp:anchor distT="0" distB="107950" distL="114300" distR="114300" simplePos="0" relativeHeight="251663360" behindDoc="0" locked="0" layoutInCell="1" allowOverlap="1">
                <wp:simplePos x="0" y="0"/>
                <wp:positionH relativeFrom="margin">
                  <wp:posOffset>89535</wp:posOffset>
                </wp:positionH>
                <wp:positionV relativeFrom="paragraph">
                  <wp:posOffset>317500</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Default="006F7D34" w:rsidP="00C824F3">
                            <w:pPr>
                              <w:ind w:left="284"/>
                            </w:pPr>
                            <w:r w:rsidRPr="006F7D34">
                              <w:rPr>
                                <w:rFonts w:ascii="Nirmala UI" w:hAnsi="Nirmala UI" w:cs="Nirmala UI"/>
                                <w:b/>
                                <w:color w:val="000000" w:themeColor="text1"/>
                                <w:sz w:val="28"/>
                              </w:rPr>
                              <w:t>Mauerschützen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25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" strokecolor="white [3212]">
                <v:textbox>
                  <w:txbxContent>
                    <w:p w:rsidR="00156973" w:rsidRDefault="006F7D34" w:rsidP="00C824F3">
                      <w:pPr>
                        <w:ind w:left="284"/>
                      </w:pPr>
                      <w:bookmarkStart w:id="1" w:name="_GoBack"/>
                      <w:r w:rsidRPr="006F7D34">
                        <w:rPr>
                          <w:rFonts w:ascii="Nirmala UI" w:hAnsi="Nirmala UI" w:cs="Nirmala UI"/>
                          <w:b/>
                          <w:color w:val="000000" w:themeColor="text1"/>
                          <w:sz w:val="28"/>
                        </w:rPr>
                        <w:t>Mauerschützen</w:t>
                      </w:r>
                      <w:bookmarkEnd w:id="1"/>
                    </w:p>
                  </w:txbxContent>
                </v:textbox>
                <w10:wrap type="square" anchorx="margin"/>
              </v:shape>
            </w:pict>
          </mc:Fallback>
        </mc:AlternateContent>
      </w:r>
    </w:p>
    <w:p w:rsidR="005B54F2" w:rsidRPr="001825D4" w:rsidRDefault="005B54F2" w:rsidP="007D7DF1">
      <w:pPr>
        <w:suppressLineNumbers/>
        <w:tabs>
          <w:tab w:val="left" w:pos="9356"/>
        </w:tabs>
        <w:spacing w:after="120" w:line="240" w:lineRule="auto"/>
        <w:ind w:left="567" w:right="708"/>
        <w:jc w:val="both"/>
        <w:rPr>
          <w:rFonts w:ascii="Constantia" w:hAnsi="Constantia" w:cs="Palatino-Roman"/>
          <w:color w:val="000000" w:themeColor="text1"/>
          <w:sz w:val="16"/>
        </w:rPr>
      </w:pPr>
    </w:p>
    <w:p w:rsidR="00C60FA7" w:rsidRPr="00C60FA7" w:rsidRDefault="00C60FA7" w:rsidP="00C60FA7">
      <w:pPr>
        <w:spacing w:after="120" w:line="240" w:lineRule="auto"/>
        <w:ind w:left="567" w:right="708"/>
        <w:jc w:val="both"/>
        <w:rPr>
          <w:rFonts w:ascii="Constantia" w:hAnsi="Constantia" w:cs="Palatino-Roman"/>
          <w:color w:val="000000" w:themeColor="text1"/>
        </w:rPr>
      </w:pPr>
      <w:r w:rsidRPr="00C60FA7">
        <w:rPr>
          <w:rFonts w:ascii="Constantia" w:hAnsi="Constantia" w:cs="Palatino-Roman"/>
          <w:color w:val="000000" w:themeColor="text1"/>
        </w:rPr>
        <w:t>DDR-Grenzsoldaten wurden durch Befehl gezwungen, auf flüchtende DDR-Bürger zu schie</w:t>
      </w:r>
      <w:r w:rsidRPr="00C60FA7">
        <w:rPr>
          <w:rFonts w:ascii="Constantia" w:hAnsi="Constantia" w:cs="Palatino-Roman"/>
          <w:color w:val="000000" w:themeColor="text1"/>
        </w:rPr>
        <w:softHyphen/>
        <w:t>ßen. Verweigerten sie den Schießbefehl, wurden sie von ihren Vorgesetzten bestraft oder wa</w:t>
      </w:r>
      <w:r w:rsidRPr="00C60FA7">
        <w:rPr>
          <w:rFonts w:ascii="Constantia" w:hAnsi="Constantia" w:cs="Palatino-Roman"/>
          <w:color w:val="000000" w:themeColor="text1"/>
        </w:rPr>
        <w:softHyphen/>
        <w:t>ren zumindest schweren Repressionen ausgesetzt. Nach der Wiedervereinigung wurden viele der Mauerschützen wegen der Todesschüsse angeklagt. Laut Einigungsvertrag und gemäß den Grundprinzipien unserer Verfassung ist für die Beurteilung der Strafbarkeit der Tötungen aus</w:t>
      </w:r>
      <w:r w:rsidRPr="00C60FA7">
        <w:rPr>
          <w:rFonts w:ascii="Constantia" w:hAnsi="Constantia" w:cs="Palatino-Roman"/>
          <w:color w:val="000000" w:themeColor="text1"/>
        </w:rPr>
        <w:softHyphen/>
        <w:t>schließlich DDR-Recht zuständig, da man bundesdeutsches Recht nicht rückwirkend auf die DDR übertragen kann. Die Todesschüsse könnten also nur dann bestraft werden, wenn sie nach dem zur Tatzeit geltenden Recht der DDR strafbar waren. DDR-Gesetze, insbesondere die Vorschriften zum Schusswaffengebrauch an der Grenze, erlaubten die Anwendung der Schusswaffe, wenn es keine andere Möglichkeit gibt, DDR-Bürger am unerlaubten Grenz</w:t>
      </w:r>
      <w:r w:rsidRPr="00C60FA7">
        <w:rPr>
          <w:rFonts w:ascii="Constantia" w:hAnsi="Constantia" w:cs="Palatino-Roman"/>
          <w:color w:val="000000" w:themeColor="text1"/>
        </w:rPr>
        <w:softHyphen/>
        <w:t>übertritt zu hindern. In den meisten Fällen standen die Grenzsoldaten sogar unter einem Be</w:t>
      </w:r>
      <w:r w:rsidRPr="00C60FA7">
        <w:rPr>
          <w:rFonts w:ascii="Constantia" w:hAnsi="Constantia" w:cs="Palatino-Roman"/>
          <w:color w:val="000000" w:themeColor="text1"/>
        </w:rPr>
        <w:softHyphen/>
        <w:t>fehlszwang seitens ihrer Vorgesetzten. Dennoch wurden viele der Todesschützen und ihre Vorgesetzten unter Berufung auf „überpositives Recht“ verurteilt, da ein „extremes Unrecht“ vorlag.</w:t>
      </w:r>
    </w:p>
    <w:p w:rsidR="00F774C9" w:rsidRDefault="00C60FA7" w:rsidP="00C60FA7">
      <w:pPr>
        <w:spacing w:after="120" w:line="240" w:lineRule="auto"/>
        <w:ind w:left="567" w:right="708"/>
        <w:jc w:val="both"/>
        <w:rPr>
          <w:rFonts w:ascii="Constantia" w:hAnsi="Constantia" w:cs="Palatino-Roman"/>
          <w:color w:val="000000" w:themeColor="text1"/>
        </w:rPr>
      </w:pPr>
      <w:r w:rsidRPr="00C60FA7">
        <w:rPr>
          <w:rFonts w:ascii="Constantia" w:hAnsi="Constantia" w:cs="Palatino-Roman"/>
          <w:color w:val="000000" w:themeColor="text1"/>
        </w:rPr>
        <w:t xml:space="preserve">Wie hätten die Grenzsoldaten handeln sollen? </w:t>
      </w:r>
    </w:p>
    <w:p w:rsidR="0042021D" w:rsidRPr="00C608C4" w:rsidRDefault="0042021D" w:rsidP="0042021D">
      <w:pPr>
        <w:suppressLineNumbers/>
        <w:spacing w:after="120" w:line="240" w:lineRule="auto"/>
        <w:ind w:left="567" w:right="708"/>
        <w:jc w:val="both"/>
        <w:rPr>
          <w:rFonts w:ascii="Constantia" w:hAnsi="Constantia" w:cs="Palatino-Roman"/>
          <w:color w:val="000000" w:themeColor="text1"/>
          <w:sz w:val="18"/>
        </w:rPr>
      </w:pPr>
    </w:p>
    <w:p w:rsidR="00C60FA7" w:rsidRPr="00C60FA7" w:rsidRDefault="0005023F" w:rsidP="00C60FA7">
      <w:pPr>
        <w:suppressLineNumbers/>
        <w:spacing w:after="120" w:line="240" w:lineRule="auto"/>
        <w:ind w:left="284" w:right="850"/>
        <w:jc w:val="right"/>
        <w:rPr>
          <w:rFonts w:ascii="Constantia" w:hAnsi="Constantia" w:cs="Palatino-Roman"/>
          <w:i/>
          <w:color w:val="000000" w:themeColor="text1"/>
          <w:sz w:val="18"/>
          <w:szCs w:val="16"/>
        </w:rPr>
      </w:pPr>
      <w:r>
        <w:rPr>
          <w:rFonts w:ascii="Constantia" w:hAnsi="Constantia" w:cs="Palatino-Roman"/>
          <w:i/>
          <w:color w:val="000000" w:themeColor="text1"/>
          <w:sz w:val="18"/>
          <w:szCs w:val="16"/>
        </w:rPr>
        <w:t xml:space="preserve">nach </w:t>
      </w:r>
      <w:r w:rsidR="00F32140" w:rsidRPr="00C60FA7">
        <w:rPr>
          <w:rFonts w:ascii="Constantia" w:hAnsi="Constantia" w:cs="Palatino-Roman"/>
          <w:i/>
          <w:color w:val="000000" w:themeColor="text1"/>
          <w:sz w:val="18"/>
          <w:szCs w:val="16"/>
        </w:rPr>
        <w:t>Pfeifer</w:t>
      </w:r>
      <w:r w:rsidR="00F32140">
        <w:rPr>
          <w:rFonts w:ascii="Constantia" w:hAnsi="Constantia" w:cs="Palatino-Roman"/>
          <w:i/>
          <w:color w:val="000000" w:themeColor="text1"/>
          <w:sz w:val="18"/>
          <w:szCs w:val="16"/>
        </w:rPr>
        <w:t>,</w:t>
      </w:r>
      <w:r w:rsidR="00F32140" w:rsidRPr="00C60FA7">
        <w:rPr>
          <w:rFonts w:ascii="Constantia" w:hAnsi="Constantia" w:cs="Palatino-Roman"/>
          <w:i/>
          <w:color w:val="000000" w:themeColor="text1"/>
          <w:sz w:val="18"/>
          <w:szCs w:val="16"/>
        </w:rPr>
        <w:t xml:space="preserve"> </w:t>
      </w:r>
      <w:r w:rsidR="00C60FA7" w:rsidRPr="00C60FA7">
        <w:rPr>
          <w:rFonts w:ascii="Constantia" w:hAnsi="Constantia" w:cs="Palatino-Roman"/>
          <w:i/>
          <w:color w:val="000000" w:themeColor="text1"/>
          <w:sz w:val="18"/>
          <w:szCs w:val="16"/>
        </w:rPr>
        <w:t>Volker</w:t>
      </w:r>
      <w:r w:rsidR="00F32140">
        <w:rPr>
          <w:rFonts w:ascii="Constantia" w:hAnsi="Constantia" w:cs="Palatino-Roman"/>
          <w:i/>
          <w:color w:val="000000" w:themeColor="text1"/>
          <w:sz w:val="18"/>
          <w:szCs w:val="16"/>
        </w:rPr>
        <w:t>: Ethisch Argumentieren.</w:t>
      </w:r>
      <w:r w:rsidR="00C60FA7" w:rsidRPr="00C60FA7">
        <w:rPr>
          <w:rFonts w:ascii="Constantia" w:hAnsi="Constantia" w:cs="Palatino-Roman"/>
          <w:i/>
          <w:color w:val="000000" w:themeColor="text1"/>
          <w:sz w:val="18"/>
          <w:szCs w:val="16"/>
        </w:rPr>
        <w:t xml:space="preserve"> </w:t>
      </w:r>
      <w:r w:rsidR="00F32140" w:rsidRPr="00C60FA7">
        <w:rPr>
          <w:rFonts w:ascii="Constantia" w:hAnsi="Constantia" w:cs="Palatino-Roman"/>
          <w:i/>
          <w:color w:val="000000" w:themeColor="text1"/>
          <w:sz w:val="18"/>
          <w:szCs w:val="16"/>
        </w:rPr>
        <w:t>Konkordia</w:t>
      </w:r>
      <w:r w:rsidR="00F32140">
        <w:rPr>
          <w:rFonts w:ascii="Constantia" w:hAnsi="Constantia" w:cs="Palatino-Roman"/>
          <w:i/>
          <w:color w:val="000000" w:themeColor="text1"/>
          <w:sz w:val="18"/>
          <w:szCs w:val="16"/>
        </w:rPr>
        <w:t>,</w:t>
      </w:r>
      <w:r w:rsidR="00F32140" w:rsidRPr="00C60FA7">
        <w:rPr>
          <w:rFonts w:ascii="Constantia" w:hAnsi="Constantia" w:cs="Palatino-Roman"/>
          <w:i/>
          <w:color w:val="000000" w:themeColor="text1"/>
          <w:sz w:val="18"/>
          <w:szCs w:val="16"/>
        </w:rPr>
        <w:t xml:space="preserve"> </w:t>
      </w:r>
      <w:r w:rsidR="00F32140">
        <w:rPr>
          <w:rFonts w:ascii="Constantia" w:hAnsi="Constantia" w:cs="Palatino-Roman"/>
          <w:i/>
          <w:color w:val="000000" w:themeColor="text1"/>
          <w:sz w:val="18"/>
          <w:szCs w:val="16"/>
        </w:rPr>
        <w:t>Bühl</w:t>
      </w:r>
      <w:r w:rsidR="00C60FA7" w:rsidRPr="00C60FA7">
        <w:rPr>
          <w:rFonts w:ascii="Constantia" w:hAnsi="Constantia" w:cs="Palatino-Roman"/>
          <w:i/>
          <w:color w:val="000000" w:themeColor="text1"/>
          <w:sz w:val="18"/>
          <w:szCs w:val="16"/>
        </w:rPr>
        <w:t xml:space="preserve"> 1997, S. 76-79</w:t>
      </w:r>
    </w:p>
    <w:p w:rsidR="009A4C11" w:rsidRPr="00C60FA7" w:rsidRDefault="009A4C11" w:rsidP="0042021D">
      <w:pPr>
        <w:suppressLineNumbers/>
        <w:spacing w:after="120" w:line="240" w:lineRule="auto"/>
        <w:ind w:left="284"/>
        <w:rPr>
          <w:rFonts w:ascii="Constantia" w:hAnsi="Constantia" w:cs="Palatino-Roman"/>
          <w:b/>
          <w:color w:val="000000" w:themeColor="text1"/>
          <w:sz w:val="18"/>
          <w:szCs w:val="16"/>
        </w:rPr>
      </w:pPr>
    </w:p>
    <w:p w:rsidR="00AF1A71" w:rsidRPr="00C60FA7" w:rsidRDefault="0005023F" w:rsidP="0042021D">
      <w:pPr>
        <w:suppressLineNumbers/>
        <w:spacing w:after="120" w:line="240" w:lineRule="auto"/>
        <w:ind w:left="284"/>
        <w:rPr>
          <w:rFonts w:ascii="Constantia" w:hAnsi="Constantia" w:cs="Palatino-Roman"/>
          <w:b/>
          <w:color w:val="000000" w:themeColor="text1"/>
          <w:sz w:val="18"/>
          <w:szCs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margin">
                  <wp:posOffset>944880</wp:posOffset>
                </wp:positionH>
                <wp:positionV relativeFrom="margin">
                  <wp:posOffset>4207510</wp:posOffset>
                </wp:positionV>
                <wp:extent cx="4572000" cy="2009775"/>
                <wp:effectExtent l="0" t="0" r="19050" b="28575"/>
                <wp:wrapTight wrapText="largest">
                  <wp:wrapPolygon edited="0">
                    <wp:start x="0" y="0"/>
                    <wp:lineTo x="0" y="21702"/>
                    <wp:lineTo x="21600" y="21702"/>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200977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C60FA7" w:rsidRDefault="00C60FA7"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C60FA7">
                              <w:rPr>
                                <w:rFonts w:ascii="Nirmala UI" w:hAnsi="Nirmala UI" w:cs="Nirmala UI"/>
                                <w:sz w:val="20"/>
                                <w:szCs w:val="20"/>
                              </w:rPr>
                              <w:t>Ist die Verurteilung der Mauerschützen ge</w:t>
                            </w:r>
                            <w:r w:rsidRPr="00C60FA7">
                              <w:rPr>
                                <w:rFonts w:ascii="Nirmala UI" w:hAnsi="Nirmala UI" w:cs="Nirmala UI"/>
                                <w:sz w:val="20"/>
                                <w:szCs w:val="20"/>
                              </w:rPr>
                              <w:softHyphen/>
                              <w:t xml:space="preserve">rechtfertigt? </w:t>
                            </w:r>
                          </w:p>
                          <w:p w:rsidR="00C60FA7" w:rsidRDefault="00C60FA7"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C60FA7">
                              <w:rPr>
                                <w:rFonts w:ascii="Nirmala UI" w:hAnsi="Nirmala UI" w:cs="Nirmala UI"/>
                                <w:sz w:val="20"/>
                                <w:szCs w:val="20"/>
                              </w:rPr>
                              <w:t>Rechtfertigt der Verweis auf „überpositives Recht“ und fundamentale Gerechtig</w:t>
                            </w:r>
                            <w:r w:rsidRPr="00C60FA7">
                              <w:rPr>
                                <w:rFonts w:ascii="Nirmala UI" w:hAnsi="Nirmala UI" w:cs="Nirmala UI"/>
                                <w:sz w:val="20"/>
                                <w:szCs w:val="20"/>
                              </w:rPr>
                              <w:softHyphen/>
                              <w:t>keitsprinzipien eine Ausnahme vom sog. Rückwirkungsverbot, d.h. eine nachträgliche An</w:t>
                            </w:r>
                            <w:r w:rsidRPr="00C60FA7">
                              <w:rPr>
                                <w:rFonts w:ascii="Nirmala UI" w:hAnsi="Nirmala UI" w:cs="Nirmala UI"/>
                                <w:sz w:val="20"/>
                                <w:szCs w:val="20"/>
                              </w:rPr>
                              <w:softHyphen/>
                              <w:t xml:space="preserve">wendung bundesdeutschen Rechts auf die DDR? </w:t>
                            </w:r>
                          </w:p>
                          <w:p w:rsidR="00C60FA7" w:rsidRPr="00381CE0" w:rsidRDefault="00C60FA7" w:rsidP="00381CE0">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C60FA7">
                              <w:rPr>
                                <w:rFonts w:ascii="Nirmala UI" w:hAnsi="Nirmala UI" w:cs="Nirmala UI"/>
                                <w:sz w:val="20"/>
                                <w:szCs w:val="20"/>
                              </w:rPr>
                              <w:t>Gibt es ein Naturrecht, das über dem ge</w:t>
                            </w:r>
                            <w:r w:rsidRPr="00C60FA7">
                              <w:rPr>
                                <w:rFonts w:ascii="Nirmala UI" w:hAnsi="Nirmala UI" w:cs="Nirmala UI"/>
                                <w:sz w:val="20"/>
                                <w:szCs w:val="20"/>
                              </w:rPr>
                              <w:softHyphen/>
                              <w:t>schriebenen Recht steht?</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74.4pt;margin-top:331.3pt;width:5in;height:158.2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" fillcolor="white [3201]" strokecolor="#bfbfbf [2412]" strokeweight="1.5pt">
                <v:textbox inset="4mm,4mm,4mm,4mm">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C60FA7" w:rsidRDefault="00C60FA7"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C60FA7">
                        <w:rPr>
                          <w:rFonts w:ascii="Nirmala UI" w:hAnsi="Nirmala UI" w:cs="Nirmala UI"/>
                          <w:sz w:val="20"/>
                          <w:szCs w:val="20"/>
                        </w:rPr>
                        <w:t>Ist die Verurteilung der Mauerschützen ge</w:t>
                      </w:r>
                      <w:r w:rsidRPr="00C60FA7">
                        <w:rPr>
                          <w:rFonts w:ascii="Nirmala UI" w:hAnsi="Nirmala UI" w:cs="Nirmala UI"/>
                          <w:sz w:val="20"/>
                          <w:szCs w:val="20"/>
                        </w:rPr>
                        <w:softHyphen/>
                        <w:t xml:space="preserve">rechtfertigt? </w:t>
                      </w:r>
                    </w:p>
                    <w:p w:rsidR="00C60FA7" w:rsidRDefault="00C60FA7"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C60FA7">
                        <w:rPr>
                          <w:rFonts w:ascii="Nirmala UI" w:hAnsi="Nirmala UI" w:cs="Nirmala UI"/>
                          <w:sz w:val="20"/>
                          <w:szCs w:val="20"/>
                        </w:rPr>
                        <w:t>Rechtfertigt der Verweis auf „überpositives Recht“ und fundamentale Gerechtig</w:t>
                      </w:r>
                      <w:r w:rsidRPr="00C60FA7">
                        <w:rPr>
                          <w:rFonts w:ascii="Nirmala UI" w:hAnsi="Nirmala UI" w:cs="Nirmala UI"/>
                          <w:sz w:val="20"/>
                          <w:szCs w:val="20"/>
                        </w:rPr>
                        <w:softHyphen/>
                        <w:t>keitsprinzipien eine Ausnahme vom sog. Rückwirkungsverbot, d.h. eine nachträgliche An</w:t>
                      </w:r>
                      <w:r w:rsidRPr="00C60FA7">
                        <w:rPr>
                          <w:rFonts w:ascii="Nirmala UI" w:hAnsi="Nirmala UI" w:cs="Nirmala UI"/>
                          <w:sz w:val="20"/>
                          <w:szCs w:val="20"/>
                        </w:rPr>
                        <w:softHyphen/>
                        <w:t xml:space="preserve">wendung bundesdeutschen Rechts auf die DDR? </w:t>
                      </w:r>
                    </w:p>
                    <w:p w:rsidR="00C60FA7" w:rsidRPr="00381CE0" w:rsidRDefault="00C60FA7" w:rsidP="00381CE0">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C60FA7">
                        <w:rPr>
                          <w:rFonts w:ascii="Nirmala UI" w:hAnsi="Nirmala UI" w:cs="Nirmala UI"/>
                          <w:sz w:val="20"/>
                          <w:szCs w:val="20"/>
                        </w:rPr>
                        <w:t>Gibt es ein Naturrecht, das über dem ge</w:t>
                      </w:r>
                      <w:r w:rsidRPr="00C60FA7">
                        <w:rPr>
                          <w:rFonts w:ascii="Nirmala UI" w:hAnsi="Nirmala UI" w:cs="Nirmala UI"/>
                          <w:sz w:val="20"/>
                          <w:szCs w:val="20"/>
                        </w:rPr>
                        <w:softHyphen/>
                        <w:t>schriebenen Recht steht?</w:t>
                      </w:r>
                    </w:p>
                  </w:txbxContent>
                </v:textbox>
                <w10:wrap type="tight" side="largest" anchorx="margin" anchory="margin"/>
              </v:rect>
            </w:pict>
          </mc:Fallback>
        </mc:AlternateContent>
      </w:r>
    </w:p>
    <w:p w:rsidR="00AF1A71" w:rsidRPr="00C60FA7" w:rsidRDefault="00AF1A71" w:rsidP="0042021D">
      <w:pPr>
        <w:suppressLineNumbers/>
        <w:spacing w:after="120" w:line="240" w:lineRule="auto"/>
        <w:ind w:left="284"/>
        <w:rPr>
          <w:rFonts w:ascii="Constantia" w:hAnsi="Constantia" w:cs="Palatino-Roman"/>
          <w:b/>
          <w:color w:val="000000" w:themeColor="text1"/>
          <w:sz w:val="18"/>
          <w:szCs w:val="16"/>
        </w:rPr>
      </w:pPr>
    </w:p>
    <w:p w:rsidR="00F774C9" w:rsidRPr="00C60FA7" w:rsidRDefault="00F774C9" w:rsidP="0042021D">
      <w:pPr>
        <w:suppressLineNumbers/>
        <w:spacing w:after="120" w:line="240" w:lineRule="auto"/>
        <w:ind w:left="284"/>
        <w:rPr>
          <w:rFonts w:ascii="Constantia" w:hAnsi="Constantia" w:cs="Palatino-Roman"/>
          <w:b/>
          <w:color w:val="000000" w:themeColor="text1"/>
          <w:sz w:val="20"/>
          <w:szCs w:val="16"/>
        </w:rPr>
      </w:pPr>
    </w:p>
    <w:p w:rsidR="00F774C9" w:rsidRPr="00C60FA7" w:rsidRDefault="00F774C9" w:rsidP="0042021D">
      <w:pPr>
        <w:suppressLineNumbers/>
        <w:spacing w:after="120" w:line="240" w:lineRule="auto"/>
        <w:ind w:left="284"/>
        <w:rPr>
          <w:rFonts w:ascii="Constantia" w:hAnsi="Constantia" w:cs="Palatino-Roman"/>
          <w:b/>
          <w:color w:val="000000" w:themeColor="text1"/>
          <w:sz w:val="20"/>
          <w:szCs w:val="16"/>
        </w:rPr>
      </w:pPr>
    </w:p>
    <w:p w:rsidR="00F774C9" w:rsidRPr="00C60FA7" w:rsidRDefault="00F774C9" w:rsidP="0042021D">
      <w:pPr>
        <w:suppressLineNumbers/>
        <w:spacing w:after="120" w:line="240" w:lineRule="auto"/>
        <w:ind w:left="284"/>
        <w:rPr>
          <w:rFonts w:ascii="Constantia" w:hAnsi="Constantia" w:cs="Palatino-Roman"/>
          <w:b/>
          <w:color w:val="000000" w:themeColor="text1"/>
          <w:sz w:val="20"/>
          <w:szCs w:val="16"/>
        </w:rPr>
      </w:pPr>
    </w:p>
    <w:p w:rsidR="00F774C9" w:rsidRPr="00C60FA7" w:rsidRDefault="00F774C9" w:rsidP="0042021D">
      <w:pPr>
        <w:suppressLineNumbers/>
        <w:spacing w:after="120" w:line="240" w:lineRule="auto"/>
        <w:ind w:left="284"/>
        <w:rPr>
          <w:rFonts w:ascii="Constantia" w:hAnsi="Constantia" w:cs="Palatino-Roman"/>
          <w:b/>
          <w:color w:val="000000" w:themeColor="text1"/>
          <w:sz w:val="20"/>
          <w:szCs w:val="16"/>
        </w:rPr>
      </w:pPr>
    </w:p>
    <w:p w:rsidR="00F774C9" w:rsidRPr="00C60FA7" w:rsidRDefault="00F774C9" w:rsidP="0042021D">
      <w:pPr>
        <w:suppressLineNumbers/>
        <w:spacing w:after="120" w:line="240" w:lineRule="auto"/>
        <w:ind w:left="284"/>
        <w:rPr>
          <w:rFonts w:ascii="Constantia" w:hAnsi="Constantia" w:cs="Palatino-Roman"/>
          <w:b/>
          <w:color w:val="000000" w:themeColor="text1"/>
          <w:sz w:val="20"/>
          <w:szCs w:val="16"/>
        </w:rPr>
      </w:pPr>
    </w:p>
    <w:p w:rsidR="005B54F2" w:rsidRPr="00C60FA7" w:rsidRDefault="005B54F2" w:rsidP="0042021D">
      <w:pPr>
        <w:suppressLineNumbers/>
        <w:spacing w:after="120" w:line="240" w:lineRule="auto"/>
        <w:rPr>
          <w:rFonts w:ascii="Constantia" w:hAnsi="Constantia" w:cs="Palatino-Roman"/>
          <w:b/>
          <w:color w:val="000000" w:themeColor="text1"/>
          <w:sz w:val="20"/>
          <w:szCs w:val="16"/>
        </w:rPr>
      </w:pPr>
    </w:p>
    <w:p w:rsidR="00C60FA7" w:rsidRDefault="00C60FA7" w:rsidP="0042021D">
      <w:pPr>
        <w:suppressLineNumbers/>
        <w:spacing w:after="120" w:line="240" w:lineRule="auto"/>
        <w:rPr>
          <w:rFonts w:ascii="Constantia" w:hAnsi="Constantia" w:cs="Palatino-Roman"/>
          <w:b/>
          <w:color w:val="000000" w:themeColor="text1"/>
          <w:sz w:val="20"/>
          <w:szCs w:val="16"/>
        </w:rPr>
      </w:pPr>
    </w:p>
    <w:p w:rsidR="001825D4" w:rsidRDefault="001825D4" w:rsidP="005C393E">
      <w:pPr>
        <w:suppressLineNumbers/>
        <w:spacing w:after="120" w:line="240" w:lineRule="auto"/>
        <w:rPr>
          <w:rFonts w:ascii="Constantia" w:hAnsi="Constantia" w:cs="Palatino-Roman"/>
          <w:b/>
          <w:color w:val="000000" w:themeColor="text1"/>
          <w:sz w:val="20"/>
          <w:szCs w:val="20"/>
        </w:rPr>
      </w:pPr>
    </w:p>
    <w:p w:rsidR="00206624" w:rsidRDefault="00206624" w:rsidP="005C393E">
      <w:pPr>
        <w:suppressLineNumbers/>
        <w:spacing w:after="120" w:line="240" w:lineRule="auto"/>
        <w:rPr>
          <w:rFonts w:ascii="Constantia" w:hAnsi="Constantia" w:cs="Palatino-Roman"/>
          <w:b/>
          <w:color w:val="000000" w:themeColor="text1"/>
          <w:sz w:val="20"/>
          <w:szCs w:val="20"/>
        </w:rPr>
      </w:pPr>
    </w:p>
    <w:p w:rsidR="0005023F" w:rsidRPr="00C60FA7" w:rsidRDefault="0005023F" w:rsidP="005C393E">
      <w:pPr>
        <w:suppressLineNumbers/>
        <w:spacing w:after="120" w:line="240" w:lineRule="auto"/>
        <w:rPr>
          <w:rFonts w:ascii="Constantia" w:hAnsi="Constantia" w:cs="Palatino-Roman"/>
          <w:b/>
          <w:color w:val="000000" w:themeColor="text1"/>
          <w:sz w:val="20"/>
          <w:szCs w:val="20"/>
        </w:rPr>
      </w:pPr>
    </w:p>
    <w:p w:rsidR="005C393E" w:rsidRPr="0005023F" w:rsidRDefault="005C393E" w:rsidP="0005023F">
      <w:pPr>
        <w:suppressLineNumbers/>
        <w:spacing w:after="120" w:line="240" w:lineRule="auto"/>
        <w:ind w:left="567" w:right="708"/>
        <w:rPr>
          <w:rFonts w:ascii="Constantia" w:hAnsi="Constantia" w:cs="Palatino-Roman"/>
          <w:b/>
          <w:color w:val="000000" w:themeColor="text1"/>
          <w:sz w:val="18"/>
          <w:szCs w:val="16"/>
        </w:rPr>
      </w:pPr>
      <w:r w:rsidRPr="0005023F">
        <w:rPr>
          <w:rFonts w:ascii="Constantia" w:hAnsi="Constantia" w:cs="Palatino-Roman"/>
          <w:b/>
          <w:color w:val="000000" w:themeColor="text1"/>
          <w:sz w:val="18"/>
          <w:szCs w:val="16"/>
        </w:rPr>
        <w:t>Zur Vertiefung empfohlen:</w:t>
      </w:r>
    </w:p>
    <w:p w:rsidR="00C60FA7" w:rsidRPr="0005023F" w:rsidRDefault="00206624" w:rsidP="0005023F">
      <w:pPr>
        <w:suppressLineNumbers/>
        <w:spacing w:after="120" w:line="240" w:lineRule="auto"/>
        <w:ind w:left="567" w:right="708"/>
        <w:rPr>
          <w:rFonts w:ascii="Constantia" w:hAnsi="Constantia" w:cs="Palatino-Roman"/>
          <w:color w:val="000000" w:themeColor="text1"/>
          <w:sz w:val="18"/>
          <w:szCs w:val="16"/>
        </w:rPr>
      </w:pPr>
      <w:r w:rsidRPr="0005023F">
        <w:rPr>
          <w:rFonts w:ascii="Constantia" w:hAnsi="Constantia" w:cs="Palatino-Roman"/>
          <w:color w:val="000000" w:themeColor="text1"/>
          <w:sz w:val="18"/>
          <w:szCs w:val="16"/>
        </w:rPr>
        <w:t xml:space="preserve">Alexy, </w:t>
      </w:r>
      <w:r w:rsidR="00C60FA7" w:rsidRPr="0005023F">
        <w:rPr>
          <w:rFonts w:ascii="Constantia" w:hAnsi="Constantia" w:cs="Palatino-Roman"/>
          <w:color w:val="000000" w:themeColor="text1"/>
          <w:sz w:val="18"/>
          <w:szCs w:val="16"/>
        </w:rPr>
        <w:t xml:space="preserve">Robert: Mauerschützen. Zum Verhältnis von Recht, Moral und Strafbarkeit (Berichte aus den Sitzungen </w:t>
      </w:r>
      <w:r w:rsidR="0005023F">
        <w:rPr>
          <w:rFonts w:ascii="Constantia" w:hAnsi="Constantia" w:cs="Palatino-Roman"/>
          <w:color w:val="000000" w:themeColor="text1"/>
          <w:sz w:val="18"/>
          <w:szCs w:val="16"/>
        </w:rPr>
        <w:br/>
      </w:r>
      <w:r w:rsidR="00C60FA7" w:rsidRPr="0005023F">
        <w:rPr>
          <w:rFonts w:ascii="Constantia" w:hAnsi="Constantia" w:cs="Palatino-Roman"/>
          <w:color w:val="000000" w:themeColor="text1"/>
          <w:sz w:val="18"/>
          <w:szCs w:val="16"/>
        </w:rPr>
        <w:t xml:space="preserve">der Joachim-Jungius-Gesellschaft der </w:t>
      </w:r>
      <w:r w:rsidRPr="0005023F">
        <w:rPr>
          <w:rFonts w:ascii="Constantia" w:hAnsi="Constantia" w:cs="Palatino-Roman"/>
          <w:color w:val="000000" w:themeColor="text1"/>
          <w:sz w:val="18"/>
          <w:szCs w:val="16"/>
        </w:rPr>
        <w:t>Wissenschaften, Jg. 11, Heft 2).</w:t>
      </w:r>
      <w:r w:rsidR="00C60FA7" w:rsidRPr="0005023F">
        <w:rPr>
          <w:rFonts w:ascii="Constantia" w:hAnsi="Constantia" w:cs="Palatino-Roman"/>
          <w:color w:val="000000" w:themeColor="text1"/>
          <w:sz w:val="18"/>
          <w:szCs w:val="16"/>
        </w:rPr>
        <w:t xml:space="preserve"> </w:t>
      </w:r>
      <w:r w:rsidRPr="0005023F">
        <w:rPr>
          <w:rFonts w:ascii="Constantia" w:hAnsi="Constantia" w:cs="Palatino-Roman"/>
          <w:color w:val="000000" w:themeColor="text1"/>
          <w:sz w:val="18"/>
          <w:szCs w:val="16"/>
        </w:rPr>
        <w:t xml:space="preserve">Vandenhoeck und Ruprecht, Göttingen </w:t>
      </w:r>
      <w:r w:rsidR="00C60FA7" w:rsidRPr="0005023F">
        <w:rPr>
          <w:rFonts w:ascii="Constantia" w:hAnsi="Constantia" w:cs="Palatino-Roman"/>
          <w:color w:val="000000" w:themeColor="text1"/>
          <w:sz w:val="18"/>
          <w:szCs w:val="16"/>
        </w:rPr>
        <w:t>1993</w:t>
      </w:r>
    </w:p>
    <w:p w:rsidR="005C393E" w:rsidRPr="0005023F" w:rsidRDefault="00206624" w:rsidP="0005023F">
      <w:pPr>
        <w:suppressLineNumbers/>
        <w:spacing w:after="120" w:line="240" w:lineRule="auto"/>
        <w:ind w:left="567" w:right="708"/>
        <w:rPr>
          <w:rFonts w:ascii="Constantia" w:hAnsi="Constantia" w:cs="Palatino-Roman"/>
          <w:color w:val="000000" w:themeColor="text1"/>
          <w:sz w:val="18"/>
          <w:szCs w:val="16"/>
        </w:rPr>
      </w:pPr>
      <w:r w:rsidRPr="0005023F">
        <w:rPr>
          <w:rFonts w:ascii="Constantia" w:hAnsi="Constantia" w:cs="Palatino-Roman"/>
          <w:color w:val="000000" w:themeColor="text1"/>
          <w:sz w:val="18"/>
          <w:szCs w:val="16"/>
        </w:rPr>
        <w:t xml:space="preserve">Dreier, </w:t>
      </w:r>
      <w:r w:rsidR="00C60FA7" w:rsidRPr="0005023F">
        <w:rPr>
          <w:rFonts w:ascii="Constantia" w:hAnsi="Constantia" w:cs="Palatino-Roman"/>
          <w:color w:val="000000" w:themeColor="text1"/>
          <w:sz w:val="18"/>
          <w:szCs w:val="16"/>
        </w:rPr>
        <w:t>Horst: Gustav Radbruch und die Mauerschützen</w:t>
      </w:r>
      <w:r w:rsidRPr="0005023F">
        <w:rPr>
          <w:rFonts w:ascii="Constantia" w:hAnsi="Constantia" w:cs="Palatino-Roman"/>
          <w:color w:val="000000" w:themeColor="text1"/>
          <w:sz w:val="18"/>
          <w:szCs w:val="16"/>
        </w:rPr>
        <w:t>.</w:t>
      </w:r>
      <w:r w:rsidR="00C60FA7" w:rsidRPr="0005023F">
        <w:rPr>
          <w:rFonts w:ascii="Constantia" w:hAnsi="Constantia" w:cs="Palatino-Roman"/>
          <w:color w:val="000000" w:themeColor="text1"/>
          <w:sz w:val="18"/>
          <w:szCs w:val="16"/>
        </w:rPr>
        <w:t xml:space="preserve"> Juristenzeitung 52 (1997) Heft 9, S. 421-434</w:t>
      </w:r>
    </w:p>
    <w:p w:rsidR="00206624" w:rsidRPr="0005023F" w:rsidRDefault="00206624" w:rsidP="0005023F">
      <w:pPr>
        <w:suppressLineNumbers/>
        <w:spacing w:after="120" w:line="240" w:lineRule="auto"/>
        <w:ind w:left="567" w:right="708"/>
        <w:rPr>
          <w:rFonts w:ascii="Constantia" w:hAnsi="Constantia" w:cs="Palatino-Roman"/>
          <w:color w:val="000000" w:themeColor="text1"/>
          <w:sz w:val="18"/>
          <w:szCs w:val="16"/>
        </w:rPr>
      </w:pPr>
      <w:r w:rsidRPr="0005023F">
        <w:rPr>
          <w:rFonts w:ascii="Constantia" w:hAnsi="Constantia" w:cs="Palatino-Roman"/>
          <w:color w:val="000000" w:themeColor="text1"/>
          <w:sz w:val="18"/>
          <w:szCs w:val="16"/>
        </w:rPr>
        <w:t xml:space="preserve">Zoglauer, </w:t>
      </w:r>
      <w:r w:rsidR="001825D4" w:rsidRPr="0005023F">
        <w:rPr>
          <w:rFonts w:ascii="Constantia" w:hAnsi="Constantia" w:cs="Palatino-Roman"/>
          <w:color w:val="000000" w:themeColor="text1"/>
          <w:sz w:val="18"/>
          <w:szCs w:val="16"/>
        </w:rPr>
        <w:t>Thomas: Ethische Konflikte zwischen Leben und Tod. Über entführte Flugzeuge und selbstfahrende Autos. der blaue reiter V</w:t>
      </w:r>
      <w:r w:rsidRPr="0005023F">
        <w:rPr>
          <w:rFonts w:ascii="Constantia" w:hAnsi="Constantia" w:cs="Palatino-Roman"/>
          <w:color w:val="000000" w:themeColor="text1"/>
          <w:sz w:val="18"/>
          <w:szCs w:val="16"/>
        </w:rPr>
        <w:t>erlag für Philosophie, Hannover</w:t>
      </w:r>
      <w:r w:rsidR="001825D4" w:rsidRPr="0005023F">
        <w:rPr>
          <w:rFonts w:ascii="Constantia" w:hAnsi="Constantia" w:cs="Palatino-Roman"/>
          <w:color w:val="000000" w:themeColor="text1"/>
          <w:sz w:val="18"/>
          <w:szCs w:val="16"/>
        </w:rPr>
        <w:t xml:space="preserve"> 2017</w:t>
      </w:r>
    </w:p>
    <w:p w:rsidR="00206624" w:rsidRPr="0005023F" w:rsidRDefault="00206624" w:rsidP="0005023F">
      <w:pPr>
        <w:suppressLineNumbers/>
        <w:spacing w:after="120" w:line="240" w:lineRule="auto"/>
        <w:ind w:left="567" w:right="708"/>
        <w:rPr>
          <w:rFonts w:ascii="Constantia" w:hAnsi="Constantia" w:cs="Palatino-Roman"/>
          <w:color w:val="000000" w:themeColor="text1"/>
          <w:sz w:val="18"/>
          <w:szCs w:val="16"/>
        </w:rPr>
      </w:pPr>
      <w:r w:rsidRPr="0005023F">
        <w:rPr>
          <w:rFonts w:ascii="Constantia" w:hAnsi="Constantia" w:cs="Palatino-Roman"/>
          <w:color w:val="000000" w:themeColor="text1"/>
          <w:sz w:val="18"/>
          <w:szCs w:val="16"/>
        </w:rPr>
        <w:t>Zoglauer, Thomas: Normenkonflikte. Zur Logik und Rationalität ethischen Argumen</w:t>
      </w:r>
      <w:r w:rsidRPr="0005023F">
        <w:rPr>
          <w:rFonts w:ascii="Constantia" w:hAnsi="Constantia" w:cs="Palatino-Roman"/>
          <w:color w:val="000000" w:themeColor="text1"/>
          <w:sz w:val="18"/>
          <w:szCs w:val="16"/>
        </w:rPr>
        <w:softHyphen/>
        <w:t>tierens. Frommann-Holzboog, Stuttgart – Bad Cannstatt 1998, S. 207-214</w:t>
      </w:r>
    </w:p>
    <w:p w:rsidR="00D90068" w:rsidRPr="005B54F2" w:rsidRDefault="005B54F2" w:rsidP="001825D4">
      <w:pPr>
        <w:suppressLineNumbers/>
        <w:spacing w:after="120" w:line="240" w:lineRule="auto"/>
        <w:ind w:left="567"/>
        <w:rPr>
          <w:rFonts w:ascii="Constantia" w:hAnsi="Constantia" w:cs="Palatino-Roman"/>
          <w:color w:val="000000" w:themeColor="text1"/>
          <w:sz w:val="20"/>
          <w:szCs w:val="16"/>
        </w:rPr>
      </w:pPr>
      <w:r w:rsidRPr="005B54F2">
        <w:rPr>
          <w:noProof/>
          <w:sz w:val="24"/>
          <w:lang w:eastAsia="de-DE"/>
        </w:rPr>
        <w:drawing>
          <wp:anchor distT="0" distB="0" distL="114300" distR="114300" simplePos="0" relativeHeight="251665408" behindDoc="1" locked="0" layoutInCell="1" allowOverlap="1">
            <wp:simplePos x="0" y="0"/>
            <wp:positionH relativeFrom="margin">
              <wp:posOffset>5764530</wp:posOffset>
            </wp:positionH>
            <wp:positionV relativeFrom="margin">
              <wp:posOffset>8051165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C9" w:rsidRPr="005B54F2">
        <w:rPr>
          <w:rFonts w:ascii="Constantia" w:hAnsi="Constantia" w:cs="Palatino-Roman"/>
          <w:noProof/>
          <w:color w:val="000000" w:themeColor="text1"/>
          <w:szCs w:val="2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-255905</wp:posOffset>
                </wp:positionH>
                <wp:positionV relativeFrom="page">
                  <wp:posOffset>10099040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7D091B">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8" type="#_x0000_t202" style="position:absolute;left:0;text-align:left;margin-left:-20.15pt;margin-top:795.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7D091B">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p>
    <w:sectPr w:rsidR="00D90068" w:rsidRPr="005B54F2" w:rsidSect="005B54F2">
      <w:headerReference w:type="even" r:id="rId9"/>
      <w:headerReference w:type="default" r:id="rId10"/>
      <w:footerReference w:type="even" r:id="rId11"/>
      <w:footerReference w:type="default" r:id="rId12"/>
      <w:headerReference w:type="first" r:id="rId13"/>
      <w:footerReference w:type="first" r:id="rId14"/>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60E" w:rsidRDefault="0085060E" w:rsidP="00273E9A">
      <w:pPr>
        <w:spacing w:after="0" w:line="240" w:lineRule="auto"/>
      </w:pPr>
      <w:r>
        <w:separator/>
      </w:r>
    </w:p>
  </w:endnote>
  <w:endnote w:type="continuationSeparator" w:id="0">
    <w:p w:rsidR="0085060E" w:rsidRDefault="0085060E"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2C" w:rsidRDefault="0019622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2C" w:rsidRDefault="0019622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2C" w:rsidRDefault="001962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60E" w:rsidRDefault="0085060E" w:rsidP="00273E9A">
      <w:pPr>
        <w:spacing w:after="0" w:line="240" w:lineRule="auto"/>
      </w:pPr>
      <w:r>
        <w:separator/>
      </w:r>
    </w:p>
  </w:footnote>
  <w:footnote w:type="continuationSeparator" w:id="0">
    <w:p w:rsidR="0085060E" w:rsidRDefault="0085060E"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2C" w:rsidRDefault="001962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35" name="Grafik 3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7D7DF1" w:rsidP="007D7DF1">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Normenkonflikt Nr. 1</w:t>
          </w:r>
          <w:r w:rsidR="0019622C">
            <w:rPr>
              <w:rFonts w:ascii="Nirmala UI" w:hAnsi="Nirmala UI" w:cs="Nirmala UI"/>
              <w:sz w:val="20"/>
              <w:szCs w:val="20"/>
            </w:rPr>
            <w:t>8</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6F7D34" w:rsidP="00943397">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Mauerschützen</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2C" w:rsidRDefault="0019622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637E3363"/>
    <w:multiLevelType w:val="hybridMultilevel"/>
    <w:tmpl w:val="2C7AA902"/>
    <w:lvl w:ilvl="0" w:tplc="294E0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5023F"/>
    <w:rsid w:val="000A3FFE"/>
    <w:rsid w:val="000B5000"/>
    <w:rsid w:val="000D45BA"/>
    <w:rsid w:val="00115D62"/>
    <w:rsid w:val="00123239"/>
    <w:rsid w:val="001532FD"/>
    <w:rsid w:val="00156973"/>
    <w:rsid w:val="0016431E"/>
    <w:rsid w:val="0016635A"/>
    <w:rsid w:val="0016714B"/>
    <w:rsid w:val="0017269D"/>
    <w:rsid w:val="001825D4"/>
    <w:rsid w:val="0019622C"/>
    <w:rsid w:val="001A3FB9"/>
    <w:rsid w:val="001A7BD5"/>
    <w:rsid w:val="001A7BE0"/>
    <w:rsid w:val="0020202C"/>
    <w:rsid w:val="00206624"/>
    <w:rsid w:val="00257FCD"/>
    <w:rsid w:val="00273E9A"/>
    <w:rsid w:val="00287D41"/>
    <w:rsid w:val="002A450E"/>
    <w:rsid w:val="002A543A"/>
    <w:rsid w:val="002C014A"/>
    <w:rsid w:val="002F70CE"/>
    <w:rsid w:val="00332BA0"/>
    <w:rsid w:val="00372719"/>
    <w:rsid w:val="00373E27"/>
    <w:rsid w:val="00381CE0"/>
    <w:rsid w:val="0039777B"/>
    <w:rsid w:val="003B1906"/>
    <w:rsid w:val="003F6A9D"/>
    <w:rsid w:val="00400A9B"/>
    <w:rsid w:val="0042021D"/>
    <w:rsid w:val="00480DE9"/>
    <w:rsid w:val="004B60D0"/>
    <w:rsid w:val="004D05B4"/>
    <w:rsid w:val="004D26D9"/>
    <w:rsid w:val="004D3DAE"/>
    <w:rsid w:val="004D549A"/>
    <w:rsid w:val="004E2383"/>
    <w:rsid w:val="004F3855"/>
    <w:rsid w:val="004F61ED"/>
    <w:rsid w:val="00516874"/>
    <w:rsid w:val="00527CF6"/>
    <w:rsid w:val="00575E76"/>
    <w:rsid w:val="005B54F2"/>
    <w:rsid w:val="005C393E"/>
    <w:rsid w:val="0061016D"/>
    <w:rsid w:val="00626E68"/>
    <w:rsid w:val="00635248"/>
    <w:rsid w:val="00645605"/>
    <w:rsid w:val="006928AB"/>
    <w:rsid w:val="00693EC2"/>
    <w:rsid w:val="00694CE5"/>
    <w:rsid w:val="006C2809"/>
    <w:rsid w:val="006E3788"/>
    <w:rsid w:val="006F7D34"/>
    <w:rsid w:val="00710449"/>
    <w:rsid w:val="00716EE9"/>
    <w:rsid w:val="00733D73"/>
    <w:rsid w:val="00746C15"/>
    <w:rsid w:val="00792C11"/>
    <w:rsid w:val="007B21E0"/>
    <w:rsid w:val="007D088D"/>
    <w:rsid w:val="007D091B"/>
    <w:rsid w:val="007D7DF1"/>
    <w:rsid w:val="00813431"/>
    <w:rsid w:val="00842782"/>
    <w:rsid w:val="0085060E"/>
    <w:rsid w:val="008525BA"/>
    <w:rsid w:val="00911B1F"/>
    <w:rsid w:val="00927079"/>
    <w:rsid w:val="00932620"/>
    <w:rsid w:val="00943397"/>
    <w:rsid w:val="00974BC9"/>
    <w:rsid w:val="009A4C11"/>
    <w:rsid w:val="00A06073"/>
    <w:rsid w:val="00A16905"/>
    <w:rsid w:val="00A25E6C"/>
    <w:rsid w:val="00AB00AD"/>
    <w:rsid w:val="00AB7E9D"/>
    <w:rsid w:val="00AC6FDC"/>
    <w:rsid w:val="00AD23DB"/>
    <w:rsid w:val="00AF1A71"/>
    <w:rsid w:val="00B549BE"/>
    <w:rsid w:val="00BB4777"/>
    <w:rsid w:val="00BD169F"/>
    <w:rsid w:val="00BE06EC"/>
    <w:rsid w:val="00BE16F3"/>
    <w:rsid w:val="00BF0F74"/>
    <w:rsid w:val="00C34698"/>
    <w:rsid w:val="00C608C4"/>
    <w:rsid w:val="00C60C62"/>
    <w:rsid w:val="00C60FA7"/>
    <w:rsid w:val="00C663A2"/>
    <w:rsid w:val="00C824F3"/>
    <w:rsid w:val="00CA3E83"/>
    <w:rsid w:val="00CF4082"/>
    <w:rsid w:val="00CF458D"/>
    <w:rsid w:val="00D07CCD"/>
    <w:rsid w:val="00D57BC4"/>
    <w:rsid w:val="00D62E87"/>
    <w:rsid w:val="00D70B67"/>
    <w:rsid w:val="00D81132"/>
    <w:rsid w:val="00D90068"/>
    <w:rsid w:val="00D90569"/>
    <w:rsid w:val="00DD1857"/>
    <w:rsid w:val="00E04E18"/>
    <w:rsid w:val="00E5122B"/>
    <w:rsid w:val="00E565BD"/>
    <w:rsid w:val="00E83E70"/>
    <w:rsid w:val="00EC24BB"/>
    <w:rsid w:val="00EE3167"/>
    <w:rsid w:val="00F0545F"/>
    <w:rsid w:val="00F32140"/>
    <w:rsid w:val="00F326D1"/>
    <w:rsid w:val="00F33458"/>
    <w:rsid w:val="00F569C2"/>
    <w:rsid w:val="00F60B71"/>
    <w:rsid w:val="00F64BA5"/>
    <w:rsid w:val="00F67FE5"/>
    <w:rsid w:val="00F743EB"/>
    <w:rsid w:val="00F774C9"/>
    <w:rsid w:val="00FA284C"/>
    <w:rsid w:val="00FD3517"/>
    <w:rsid w:val="00FE5B4A"/>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79459-8D10-4167-8207-13E3DD3C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12</cp:revision>
  <cp:lastPrinted>2019-05-21T12:01:00Z</cp:lastPrinted>
  <dcterms:created xsi:type="dcterms:W3CDTF">2019-05-29T19:49:00Z</dcterms:created>
  <dcterms:modified xsi:type="dcterms:W3CDTF">2019-06-22T12:29:00Z</dcterms:modified>
</cp:coreProperties>
</file>