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03" w:rsidRDefault="00A70D62" w:rsidP="00CC097D">
      <w:pPr>
        <w:spacing w:after="120" w:line="240" w:lineRule="auto"/>
        <w:ind w:left="284" w:right="70"/>
        <w:jc w:val="both"/>
        <w:rPr>
          <w:rFonts w:ascii="Constantia" w:hAnsi="Constantia" w:cs="Frutiger-Bold"/>
          <w:bCs/>
          <w:color w:val="000000" w:themeColor="text1"/>
          <w:sz w:val="21"/>
          <w:szCs w:val="21"/>
        </w:rPr>
      </w:pPr>
      <w:r w:rsidRPr="007D088D">
        <w:rPr>
          <w:rFonts w:ascii="Constantia" w:hAnsi="Constantia"/>
          <w:b/>
          <w:noProof/>
          <w:color w:val="000000" w:themeColor="text1"/>
          <w:sz w:val="28"/>
          <w:lang w:eastAsia="de-DE"/>
        </w:rPr>
        <mc:AlternateContent>
          <mc:Choice Requires="wps">
            <w:drawing>
              <wp:anchor distT="0" distB="0" distL="114300" distR="114300" simplePos="0" relativeHeight="251663360" behindDoc="0" locked="0" layoutInCell="1" allowOverlap="1">
                <wp:simplePos x="0" y="0"/>
                <wp:positionH relativeFrom="margin">
                  <wp:posOffset>-102235</wp:posOffset>
                </wp:positionH>
                <wp:positionV relativeFrom="paragraph">
                  <wp:posOffset>0</wp:posOffset>
                </wp:positionV>
                <wp:extent cx="6631200" cy="280800"/>
                <wp:effectExtent l="0" t="0" r="17780" b="2413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200" cy="280800"/>
                        </a:xfrm>
                        <a:prstGeom prst="rect">
                          <a:avLst/>
                        </a:prstGeom>
                        <a:solidFill>
                          <a:srgbClr val="FFFFFF"/>
                        </a:solidFill>
                        <a:ln w="9525">
                          <a:solidFill>
                            <a:schemeClr val="bg1"/>
                          </a:solidFill>
                          <a:miter lim="800000"/>
                          <a:headEnd/>
                          <a:tailEnd/>
                        </a:ln>
                      </wps:spPr>
                      <wps:txbx>
                        <w:txbxContent>
                          <w:p w:rsidR="00156973" w:rsidRPr="0017269D" w:rsidRDefault="00873022"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Tierschutz oder Menschenschutz?</w:t>
                            </w:r>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0;width:522.15pt;height:2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" strokecolor="white [3212]">
                <v:textbox>
                  <w:txbxContent>
                    <w:p w:rsidR="00156973" w:rsidRPr="0017269D" w:rsidRDefault="00873022"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Tierschutz oder Menschenschutz?</w:t>
                      </w:r>
                    </w:p>
                    <w:p w:rsidR="00156973" w:rsidRDefault="00156973"/>
                  </w:txbxContent>
                </v:textbox>
                <w10:wrap type="square" anchorx="margin"/>
              </v:shape>
            </w:pict>
          </mc:Fallback>
        </mc:AlternateConten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In der wohl meistzitierten Fußnote der tierethischen</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Literatur formuliert Jeremy Bentham 1789 programmatisch</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seine Vision für das moralische Verhältnis von</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 xml:space="preserve">Mensch und Tier. </w:t>
      </w:r>
      <w:r w:rsidR="00962003" w:rsidRPr="00962003">
        <w:rPr>
          <w:rFonts w:ascii="Constantia" w:hAnsi="Constantia" w:cs="Frutiger-Bold"/>
          <w:bCs/>
          <w:color w:val="000000" w:themeColor="text1"/>
          <w:sz w:val="21"/>
          <w:szCs w:val="21"/>
          <w:lang w:val="en-GB"/>
        </w:rPr>
        <w:t>Die Passage endet mit den drei berühmt gewordenen Fragen: „</w:t>
      </w:r>
      <w:r w:rsidR="00962003" w:rsidRPr="00962003">
        <w:rPr>
          <w:rFonts w:ascii="Constantia" w:hAnsi="Constantia" w:cs="Frutiger-Bold"/>
          <w:bCs/>
          <w:i/>
          <w:iCs/>
          <w:color w:val="000000" w:themeColor="text1"/>
          <w:sz w:val="21"/>
          <w:szCs w:val="21"/>
          <w:lang w:val="en-GB"/>
        </w:rPr>
        <w:t>the question is not, Can they reason? nor, Can they talk? but, Can they suffer?</w:t>
      </w:r>
      <w:r w:rsidR="00962003" w:rsidRPr="00962003">
        <w:rPr>
          <w:rFonts w:ascii="Constantia" w:hAnsi="Constantia" w:cs="Frutiger-Bold"/>
          <w:bCs/>
          <w:color w:val="000000" w:themeColor="text1"/>
          <w:sz w:val="21"/>
          <w:szCs w:val="21"/>
          <w:lang w:val="en-GB"/>
        </w:rPr>
        <w:t xml:space="preserve">“ </w:t>
      </w:r>
      <w:r w:rsidR="00962003" w:rsidRPr="00962003">
        <w:rPr>
          <w:rFonts w:ascii="Constantia" w:hAnsi="Constantia" w:cs="Frutiger-Bold"/>
          <w:bCs/>
          <w:color w:val="000000" w:themeColor="text1"/>
          <w:sz w:val="21"/>
          <w:szCs w:val="21"/>
        </w:rPr>
        <w:t>(„Die</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Frage lautet weder, ob sie zu denken noch ob sie zu</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sprechen vermögen, sondern ob sie leiden können.“)</w:t>
      </w:r>
      <w:r w:rsidR="00833686">
        <w:rPr>
          <w:rStyle w:val="Funotenzeichen"/>
          <w:rFonts w:ascii="Constantia" w:hAnsi="Constantia" w:cs="Frutiger-Bold"/>
          <w:bCs/>
          <w:color w:val="000000" w:themeColor="text1"/>
          <w:sz w:val="21"/>
          <w:szCs w:val="21"/>
        </w:rPr>
        <w:footnoteReference w:id="1"/>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Mit der letzten der drei Fragen verschiebt Bentham den</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Fokus der moralphilosophischen Reflexion des Verhältnisses</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von Mensch und Tier. Während in der philosophischen</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Tradition bis dato die meistgestellte Frage bezüglich</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der Grenzziehung zwischen Mensch und Tier</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die nach dem Trennenden war, hat Bentham das Gemeinsame</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im Blick.</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Die Selbsteinschätzung</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des Menschen</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als „Tier plus x“</w:t>
      </w:r>
      <w:r w:rsidR="00F541BB">
        <w:rPr>
          <w:rStyle w:val="Funotenzeichen"/>
          <w:rFonts w:ascii="Constantia" w:hAnsi="Constantia" w:cs="Frutiger-Bold"/>
          <w:bCs/>
          <w:color w:val="000000" w:themeColor="text1"/>
          <w:sz w:val="21"/>
          <w:szCs w:val="21"/>
        </w:rPr>
        <w:footnoteReference w:id="2"/>
      </w:r>
      <w:r w:rsidR="00962003" w:rsidRPr="00962003">
        <w:rPr>
          <w:rFonts w:ascii="Constantia" w:hAnsi="Constantia" w:cs="Frutiger-Bold"/>
          <w:bCs/>
          <w:color w:val="000000" w:themeColor="text1"/>
          <w:sz w:val="21"/>
          <w:szCs w:val="21"/>
        </w:rPr>
        <w:t xml:space="preserve"> wird</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infrage gestellt und</w:t>
      </w:r>
      <w:r w:rsidR="00962003">
        <w:rPr>
          <w:rFonts w:ascii="Constantia" w:hAnsi="Constantia" w:cs="Frutiger-Bold"/>
          <w:bCs/>
          <w:color w:val="000000" w:themeColor="text1"/>
          <w:sz w:val="21"/>
          <w:szCs w:val="21"/>
        </w:rPr>
        <w:t xml:space="preserve"> </w:t>
      </w:r>
      <w:r w:rsidR="00962003" w:rsidRPr="00962003">
        <w:rPr>
          <w:rFonts w:ascii="Constantia" w:hAnsi="Constantia" w:cs="Frutiger-Bold"/>
          <w:bCs/>
          <w:color w:val="000000" w:themeColor="text1"/>
          <w:sz w:val="21"/>
          <w:szCs w:val="21"/>
        </w:rPr>
        <w:t>damit auch die Sonderstellung</w:t>
      </w:r>
      <w:r w:rsidR="00962003">
        <w:rPr>
          <w:rFonts w:ascii="Constantia" w:hAnsi="Constantia" w:cs="Frutiger-Bold"/>
          <w:bCs/>
          <w:color w:val="000000" w:themeColor="text1"/>
          <w:sz w:val="21"/>
          <w:szCs w:val="21"/>
        </w:rPr>
        <w:t xml:space="preserve"> des Menschen</w:t>
      </w:r>
      <w:r w:rsidR="00962003" w:rsidRPr="007D088D">
        <w:rPr>
          <w:rFonts w:ascii="Constantia" w:hAnsi="Constantia" w:cs="Frutiger-Bold"/>
          <w:bCs/>
          <w:color w:val="000000" w:themeColor="text1"/>
          <w:sz w:val="21"/>
          <w:szCs w:val="21"/>
        </w:rPr>
        <w:t>.</w:t>
      </w:r>
      <w:r w:rsidR="00962003">
        <w:rPr>
          <w:rFonts w:ascii="Constantia" w:hAnsi="Constantia" w:cs="Frutiger-Bold"/>
          <w:bCs/>
          <w:color w:val="000000" w:themeColor="text1"/>
          <w:sz w:val="21"/>
          <w:szCs w:val="21"/>
        </w:rPr>
        <w:t xml:space="preserve"> […]</w:t>
      </w:r>
    </w:p>
    <w:p w:rsidR="00527CF6" w:rsidRDefault="00962003" w:rsidP="00CC097D">
      <w:pPr>
        <w:spacing w:after="120" w:line="240" w:lineRule="auto"/>
        <w:ind w:left="284" w:right="70"/>
        <w:jc w:val="both"/>
        <w:rPr>
          <w:rFonts w:ascii="Constantia" w:hAnsi="Constantia" w:cs="Frutiger-Bold"/>
          <w:bCs/>
          <w:color w:val="FF0000"/>
          <w:sz w:val="21"/>
          <w:szCs w:val="21"/>
        </w:rPr>
      </w:pPr>
      <w:r w:rsidRPr="00F541BB">
        <w:rPr>
          <w:rFonts w:ascii="Constantia" w:hAnsi="Constantia" w:cs="Frutiger-Bold"/>
          <w:bCs/>
          <w:color w:val="000000" w:themeColor="text1"/>
          <w:sz w:val="21"/>
          <w:szCs w:val="21"/>
          <w:lang w:val="en-GB"/>
        </w:rPr>
        <w:t>Singers Credo „</w:t>
      </w:r>
      <w:r w:rsidRPr="00F541BB">
        <w:rPr>
          <w:rFonts w:ascii="Constantia" w:hAnsi="Constantia" w:cs="Frutiger-Bold"/>
          <w:bCs/>
          <w:i/>
          <w:iCs/>
          <w:color w:val="000000" w:themeColor="text1"/>
          <w:sz w:val="21"/>
          <w:szCs w:val="21"/>
          <w:lang w:val="en-GB"/>
        </w:rPr>
        <w:t>All Animals are Equal!</w:t>
      </w:r>
      <w:r w:rsidRPr="00F541BB">
        <w:rPr>
          <w:rFonts w:ascii="Constantia" w:hAnsi="Constantia" w:cs="Frutiger-Bold"/>
          <w:bCs/>
          <w:color w:val="000000" w:themeColor="text1"/>
          <w:sz w:val="21"/>
          <w:szCs w:val="21"/>
          <w:lang w:val="en-GB"/>
        </w:rPr>
        <w:t xml:space="preserve">“ </w:t>
      </w:r>
      <w:r w:rsidRPr="00962003">
        <w:rPr>
          <w:rFonts w:ascii="Constantia" w:hAnsi="Constantia" w:cs="Frutiger-Bold"/>
          <w:bCs/>
          <w:color w:val="000000" w:themeColor="text1"/>
          <w:sz w:val="21"/>
          <w:szCs w:val="21"/>
        </w:rPr>
        <w:t>(Alle Tiere</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sind gleich!) steht programmatisch am Anfang seines</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 xml:space="preserve">Buchs </w:t>
      </w:r>
      <w:r w:rsidRPr="00962003">
        <w:rPr>
          <w:rFonts w:ascii="Constantia" w:hAnsi="Constantia" w:cs="Frutiger-Bold"/>
          <w:bCs/>
          <w:i/>
          <w:iCs/>
          <w:color w:val="000000" w:themeColor="text1"/>
          <w:sz w:val="21"/>
          <w:szCs w:val="21"/>
        </w:rPr>
        <w:t xml:space="preserve">Animal Liberation </w:t>
      </w:r>
      <w:r w:rsidRPr="00962003">
        <w:rPr>
          <w:rFonts w:ascii="Constantia" w:hAnsi="Constantia" w:cs="Frutiger-Bold"/>
          <w:bCs/>
          <w:color w:val="000000" w:themeColor="text1"/>
          <w:sz w:val="21"/>
          <w:szCs w:val="21"/>
        </w:rPr>
        <w:t>(</w:t>
      </w:r>
      <w:r w:rsidRPr="00962003">
        <w:rPr>
          <w:rFonts w:ascii="Constantia" w:hAnsi="Constantia" w:cs="Frutiger-Bold"/>
          <w:bCs/>
          <w:i/>
          <w:iCs/>
          <w:color w:val="000000" w:themeColor="text1"/>
          <w:sz w:val="21"/>
          <w:szCs w:val="21"/>
        </w:rPr>
        <w:t>Die Befreiung der Tiere</w:t>
      </w:r>
      <w:r w:rsidRPr="00962003">
        <w:rPr>
          <w:rFonts w:ascii="Constantia" w:hAnsi="Constantia" w:cs="Frutiger-Bold"/>
          <w:bCs/>
          <w:color w:val="000000" w:themeColor="text1"/>
          <w:sz w:val="21"/>
          <w:szCs w:val="21"/>
        </w:rPr>
        <w:t>) aus</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dem Jahr 1975. In Anlehnung an Bentham begründet</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er die Pflicht, nicht nur menschliche Interessen, sondern</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auch die Interessen von Tieren zu achten. Es</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kommt nicht darauf an, ob man Tier oder Mensch ist,</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so Singers Argument, sondern auf die aktuellen und</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individuellen Interessen, Bedürfnisse und Präferenzen.</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Die Voraussetzung, Interessen und Präferenzen</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sinnvoll zuschreiben zu können, bestimmt er in der</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Leidensfähigkeit. Es gebe keine moralische Rechtfertigung</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dafür, das Leiden eines Wesens nicht zu beachten</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 egal um welches Wesen es sich handle. Nach</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dem Gleichbehandlungsgrundsatz zähle jedes Leiden</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gleich viel, egal bei wem es vorkomme. Die Zugehörigkeit</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zu einer bestimmten Spezies dürfe keine Rolle</w:t>
      </w:r>
      <w:r>
        <w:rPr>
          <w:rFonts w:ascii="Constantia" w:hAnsi="Constantia" w:cs="Frutiger-Bold"/>
          <w:bCs/>
          <w:color w:val="000000" w:themeColor="text1"/>
          <w:sz w:val="21"/>
          <w:szCs w:val="21"/>
        </w:rPr>
        <w:t xml:space="preserve"> </w:t>
      </w:r>
      <w:r w:rsidRPr="00962003">
        <w:rPr>
          <w:rFonts w:ascii="Constantia" w:hAnsi="Constantia" w:cs="Frutiger-Bold"/>
          <w:bCs/>
          <w:color w:val="000000" w:themeColor="text1"/>
          <w:sz w:val="21"/>
          <w:szCs w:val="21"/>
        </w:rPr>
        <w:t>spielen.</w:t>
      </w:r>
      <w:r w:rsidR="00F541BB">
        <w:rPr>
          <w:rStyle w:val="Funotenzeichen"/>
          <w:rFonts w:ascii="Constantia" w:hAnsi="Constantia" w:cs="Frutiger-Bold"/>
          <w:bCs/>
          <w:color w:val="000000" w:themeColor="text1"/>
          <w:sz w:val="21"/>
          <w:szCs w:val="21"/>
        </w:rPr>
        <w:footnoteReference w:id="3"/>
      </w:r>
      <w:r w:rsidR="00AD7802">
        <w:rPr>
          <w:rFonts w:ascii="Constantia" w:hAnsi="Constantia" w:cs="Frutiger-Bold"/>
          <w:bCs/>
          <w:color w:val="FF0000"/>
          <w:sz w:val="21"/>
          <w:szCs w:val="21"/>
        </w:rPr>
        <w:t xml:space="preserve"> </w:t>
      </w:r>
      <w:r w:rsidR="00AD7802" w:rsidRPr="00AD7802">
        <w:rPr>
          <w:rFonts w:ascii="Constantia" w:hAnsi="Constantia" w:cs="Frutiger-Bold"/>
          <w:bCs/>
          <w:sz w:val="21"/>
          <w:szCs w:val="21"/>
        </w:rPr>
        <w:t>[…]</w:t>
      </w:r>
    </w:p>
    <w:p w:rsidR="00AD7802" w:rsidRPr="00AD7802" w:rsidRDefault="00191171" w:rsidP="00CC097D">
      <w:pPr>
        <w:spacing w:after="120" w:line="240" w:lineRule="auto"/>
        <w:ind w:left="284" w:right="70"/>
        <w:jc w:val="both"/>
        <w:rPr>
          <w:rFonts w:ascii="Constantia" w:hAnsi="Constantia"/>
          <w:color w:val="000000" w:themeColor="text1"/>
          <w:sz w:val="21"/>
          <w:szCs w:val="21"/>
        </w:rPr>
      </w:pPr>
      <w:r w:rsidRPr="001F123E">
        <w:rPr>
          <w:noProof/>
          <w:lang w:eastAsia="de-DE"/>
        </w:rPr>
        <w:drawing>
          <wp:anchor distT="0" distB="0" distL="114300" distR="114300" simplePos="0" relativeHeight="251665408" behindDoc="1" locked="0" layoutInCell="1" allowOverlap="1">
            <wp:simplePos x="0" y="0"/>
            <wp:positionH relativeFrom="margin">
              <wp:posOffset>5936615</wp:posOffset>
            </wp:positionH>
            <wp:positionV relativeFrom="margin">
              <wp:posOffset>8365490</wp:posOffset>
            </wp:positionV>
            <wp:extent cx="809625" cy="680085"/>
            <wp:effectExtent l="7620" t="0" r="0" b="0"/>
            <wp:wrapNone/>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4384" behindDoc="0" locked="0" layoutInCell="1" allowOverlap="1">
                <wp:simplePos x="0" y="0"/>
                <wp:positionH relativeFrom="margin">
                  <wp:posOffset>-85725</wp:posOffset>
                </wp:positionH>
                <wp:positionV relativeFrom="margin">
                  <wp:posOffset>9098915</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5BA"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E9400B">
                              <w:rPr>
                                <w:rFonts w:ascii="Nirmala UI" w:hAnsi="Nirmala UI" w:cs="Nirmala UI"/>
                                <w:sz w:val="14"/>
                              </w:rPr>
                              <w:t xml:space="preserve">der blaue reiter </w:t>
                            </w:r>
                            <w:r w:rsidRPr="0010154E">
                              <w:rPr>
                                <w:rFonts w:ascii="Nirmala UI" w:hAnsi="Nirmala UI" w:cs="Nirmala UI"/>
                                <w:sz w:val="14"/>
                              </w:rPr>
                              <w:t xml:space="preserve">Verlag für Philosophie Siegfried Reusch e.K. / </w:t>
                            </w:r>
                          </w:p>
                          <w:p w:rsidR="001A7BE0" w:rsidRPr="0010154E"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sidR="00516874">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1A7BE0" w:rsidRDefault="001A7BE0" w:rsidP="001A7BE0"/>
                          <w:p w:rsidR="004D3DAE" w:rsidRPr="00CF4082" w:rsidRDefault="004D3DAE" w:rsidP="00626E68">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6.75pt;margin-top:716.45pt;width:536.4pt;height:37.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" filled="f" stroked="f" strokeweight=".5pt">
                <v:textbox>
                  <w:txbxContent>
                    <w:p w:rsidR="000D45BA"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E9400B">
                        <w:rPr>
                          <w:rFonts w:ascii="Nirmala UI" w:hAnsi="Nirmala UI" w:cs="Nirmala UI"/>
                          <w:sz w:val="14"/>
                        </w:rPr>
                        <w:t xml:space="preserve">der blaue reiter </w:t>
                      </w:r>
                      <w:r w:rsidRPr="0010154E">
                        <w:rPr>
                          <w:rFonts w:ascii="Nirmala UI" w:hAnsi="Nirmala UI" w:cs="Nirmala UI"/>
                          <w:sz w:val="14"/>
                        </w:rPr>
                        <w:t xml:space="preserve">Verlag für Philosophie Siegfried Reusch e.K. / </w:t>
                      </w:r>
                    </w:p>
                    <w:p w:rsidR="001A7BE0" w:rsidRPr="0010154E" w:rsidRDefault="001A7BE0" w:rsidP="00E83E70">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sidR="00516874">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1A7BE0" w:rsidRDefault="001A7BE0" w:rsidP="001A7BE0"/>
                    <w:p w:rsidR="004D3DAE" w:rsidRPr="00CF4082" w:rsidRDefault="004D3DAE" w:rsidP="00626E68">
                      <w:pPr>
                        <w:spacing w:after="0" w:line="160" w:lineRule="exact"/>
                        <w:jc w:val="center"/>
                        <w:rPr>
                          <w:rFonts w:ascii="Nirmala UI" w:hAnsi="Nirmala UI" w:cs="Nirmala UI"/>
                          <w:color w:val="262626" w:themeColor="text1" w:themeTint="D9"/>
                          <w:sz w:val="14"/>
                          <w:szCs w:val="14"/>
                        </w:rPr>
                      </w:pPr>
                    </w:p>
                  </w:txbxContent>
                </v:textbox>
                <w10:wrap type="square" anchorx="margin" anchory="margin"/>
              </v:shape>
            </w:pict>
          </mc:Fallback>
        </mc:AlternateContent>
      </w:r>
      <w:r w:rsidR="00AD7802" w:rsidRPr="00AD7802">
        <w:rPr>
          <w:rFonts w:ascii="Constantia" w:hAnsi="Constantia"/>
          <w:color w:val="000000" w:themeColor="text1"/>
          <w:sz w:val="21"/>
          <w:szCs w:val="21"/>
        </w:rPr>
        <w:t>Die Begründung des moralischen Schutzes von Tieren</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entlang der Ähnlichkeit zum Menschen schlägt sich</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auch im Tierschutzrecht nieder. Die größere Nähe zum</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Menschen begründet in diesem Bereich einen gewichtigeren</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normativen Status. Dies zeigt sich etwa am</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Beispiel (Großer) Menschenaffen in der sogenannten</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EU-Tierversuchsrichtlinie (2010/</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63/EU). Obwohl die</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Richtlinie die Verwendung nichtmenschlicher Primaten</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als „notwendig“ für biomedizinische Forschung</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beschreibt, wird darauf hingewiesen, dass der genetischen</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Nähe zu Menschen durch einen gesteigerten</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normativen Status entsprochen werden soll. Es bleibt</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die Frage, was dies bedeutet. Die Haltung von nichtmenschlichen</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Primaten – vor allem in einer Laborumgebung</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 bringt spezifische Probleme mit sich. Angemessene</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Käfiggestaltung und Beschäftigung sowie die</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Fütterung von nichtmenschlichen Primaten sind aufgrund</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von deren hochentwickelten sozialen Fähigkeiten</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nicht einfach zu bewerkstelligen. Aber auch die</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Haltung von Mäusen birgt spezifische, wenn auch andere</w:t>
      </w:r>
      <w:r w:rsidR="00AD7802">
        <w:rPr>
          <w:rFonts w:ascii="Constantia" w:hAnsi="Constantia"/>
          <w:color w:val="000000" w:themeColor="text1"/>
          <w:sz w:val="21"/>
          <w:szCs w:val="21"/>
        </w:rPr>
        <w:t xml:space="preserve"> </w:t>
      </w:r>
      <w:r w:rsidR="00AD7802" w:rsidRPr="00AD7802">
        <w:rPr>
          <w:rFonts w:ascii="Constantia" w:hAnsi="Constantia"/>
          <w:color w:val="000000" w:themeColor="text1"/>
          <w:sz w:val="21"/>
          <w:szCs w:val="21"/>
        </w:rPr>
        <w:t xml:space="preserve">praktische Probleme. </w:t>
      </w:r>
      <w:r w:rsidR="006463BA">
        <w:rPr>
          <w:rFonts w:ascii="Constantia" w:hAnsi="Constantia"/>
          <w:color w:val="000000" w:themeColor="text1"/>
          <w:sz w:val="21"/>
          <w:szCs w:val="21"/>
        </w:rPr>
        <w:t>[…]</w:t>
      </w:r>
    </w:p>
    <w:p w:rsidR="00527CF6" w:rsidRPr="00CC097D" w:rsidRDefault="00527CF6" w:rsidP="0078032C">
      <w:pPr>
        <w:suppressLineNumbers/>
        <w:spacing w:after="0" w:line="240" w:lineRule="auto"/>
        <w:ind w:left="567"/>
        <w:jc w:val="right"/>
        <w:rPr>
          <w:rFonts w:ascii="Constantia" w:hAnsi="Constantia"/>
          <w:i/>
          <w:color w:val="000000" w:themeColor="text1"/>
          <w:sz w:val="2"/>
        </w:rPr>
      </w:pPr>
    </w:p>
    <w:p w:rsidR="000B5000" w:rsidRPr="00626E68" w:rsidRDefault="004D3DAE" w:rsidP="00B702E8">
      <w:pPr>
        <w:suppressLineNumbers/>
        <w:tabs>
          <w:tab w:val="left" w:pos="4395"/>
        </w:tabs>
        <w:spacing w:line="240" w:lineRule="auto"/>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blaue reiter". Den kompletten Text finden Sie unter: </w:t>
      </w:r>
      <w:r w:rsidR="00D14387" w:rsidRPr="00D14387">
        <w:rPr>
          <w:rFonts w:ascii="Constantia" w:hAnsi="Constantia"/>
          <w:i/>
          <w:color w:val="000000" w:themeColor="text1"/>
          <w:sz w:val="16"/>
        </w:rPr>
        <w:t>Herwig Grimm: Tierschutz oder Menschenschutz? In: der blaue reiter, Journal für Philosophie. Was ist der Mensch?</w:t>
      </w:r>
      <w:r w:rsidR="00E9400B">
        <w:rPr>
          <w:rFonts w:ascii="Constantia" w:hAnsi="Constantia"/>
          <w:i/>
          <w:color w:val="000000" w:themeColor="text1"/>
          <w:sz w:val="16"/>
        </w:rPr>
        <w:t xml:space="preserve"> (Ausgabe 34), der blaue reiter</w:t>
      </w:r>
      <w:bookmarkStart w:id="0" w:name="_GoBack"/>
      <w:bookmarkEnd w:id="0"/>
      <w:r w:rsidR="00D14387" w:rsidRPr="00D14387">
        <w:rPr>
          <w:rFonts w:ascii="Constantia" w:hAnsi="Constantia"/>
          <w:i/>
          <w:color w:val="000000" w:themeColor="text1"/>
          <w:sz w:val="16"/>
        </w:rPr>
        <w:t xml:space="preserve"> Verlag für Philosophie, Hannover 2013, S. 49 f., ISBN 978-3-933722-38-6</w:t>
      </w:r>
    </w:p>
    <w:p w:rsidR="00D90068" w:rsidRPr="00626E68" w:rsidRDefault="00CF4082" w:rsidP="0078032C">
      <w:pPr>
        <w:suppressLineNumbers/>
        <w:spacing w:line="240" w:lineRule="auto"/>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635</wp:posOffset>
                </wp:positionH>
                <wp:positionV relativeFrom="paragraph">
                  <wp:posOffset>292735</wp:posOffset>
                </wp:positionV>
                <wp:extent cx="3095625" cy="4600575"/>
                <wp:effectExtent l="0" t="0" r="28575" b="28575"/>
                <wp:wrapTight wrapText="largest">
                  <wp:wrapPolygon edited="0">
                    <wp:start x="0" y="0"/>
                    <wp:lineTo x="0" y="21645"/>
                    <wp:lineTo x="21666" y="21645"/>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095625" cy="46005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78032C"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78032C">
                              <w:rPr>
                                <w:rFonts w:ascii="Nirmala UI" w:hAnsi="Nirmala UI" w:cs="Nirmala UI"/>
                                <w:sz w:val="18"/>
                                <w:szCs w:val="19"/>
                              </w:rPr>
                              <w:t>Nennen Sie die Argumente, nach denen m</w:t>
                            </w:r>
                            <w:r w:rsidR="00D14387" w:rsidRPr="0078032C">
                              <w:rPr>
                                <w:rFonts w:ascii="Nirmala UI" w:hAnsi="Nirmala UI" w:cs="Nirmala UI"/>
                                <w:sz w:val="18"/>
                                <w:szCs w:val="19"/>
                              </w:rPr>
                              <w:t xml:space="preserve">an </w:t>
                            </w:r>
                            <w:r w:rsidRPr="0078032C">
                              <w:rPr>
                                <w:rFonts w:ascii="Nirmala UI" w:hAnsi="Nirmala UI" w:cs="Nirmala UI"/>
                                <w:sz w:val="18"/>
                                <w:szCs w:val="19"/>
                              </w:rPr>
                              <w:t>laut</w:t>
                            </w:r>
                            <w:r w:rsidR="00D14387" w:rsidRPr="0078032C">
                              <w:rPr>
                                <w:rFonts w:ascii="Nirmala UI" w:hAnsi="Nirmala UI" w:cs="Nirmala UI"/>
                                <w:sz w:val="18"/>
                                <w:szCs w:val="19"/>
                              </w:rPr>
                              <w:t xml:space="preserve"> Bentham und Singer die Interessen von Tieren genauso wie menschliche Interessen achten</w:t>
                            </w:r>
                            <w:r w:rsidRPr="0078032C">
                              <w:rPr>
                                <w:rFonts w:ascii="Nirmala UI" w:hAnsi="Nirmala UI" w:cs="Nirmala UI"/>
                                <w:sz w:val="18"/>
                                <w:szCs w:val="19"/>
                              </w:rPr>
                              <w:t xml:space="preserve"> sollte</w:t>
                            </w:r>
                            <w:r>
                              <w:rPr>
                                <w:rFonts w:ascii="Nirmala UI" w:hAnsi="Nirmala UI" w:cs="Nirmala UI"/>
                                <w:sz w:val="18"/>
                                <w:szCs w:val="19"/>
                              </w:rPr>
                              <w:t>.</w:t>
                            </w:r>
                            <w:r w:rsidR="00527CF6" w:rsidRPr="0078032C">
                              <w:rPr>
                                <w:rFonts w:ascii="Nirmala UI" w:hAnsi="Nirmala UI" w:cs="Nirmala U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225349" w:rsidP="000D410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B35054">
                              <w:rPr>
                                <w:rFonts w:ascii="Nirmala UI" w:hAnsi="Nirmala UI" w:cs="Nirmala UI"/>
                                <w:sz w:val="18"/>
                                <w:szCs w:val="19"/>
                              </w:rPr>
                              <w:t>Recherchieren Sie die rechtliche Stellung der Tiere</w:t>
                            </w:r>
                            <w:r w:rsidR="00A928AB" w:rsidRPr="00B35054">
                              <w:rPr>
                                <w:rFonts w:ascii="Nirmala UI" w:hAnsi="Nirmala UI" w:cs="Nirmala UI"/>
                                <w:sz w:val="18"/>
                                <w:szCs w:val="19"/>
                              </w:rPr>
                              <w:t xml:space="preserve"> </w:t>
                            </w:r>
                            <w:r w:rsidRPr="00B35054">
                              <w:rPr>
                                <w:rFonts w:ascii="Nirmala UI" w:hAnsi="Nirmala UI" w:cs="Nirmala UI"/>
                                <w:sz w:val="18"/>
                                <w:szCs w:val="19"/>
                              </w:rPr>
                              <w:t>in Deutschlan</w:t>
                            </w:r>
                            <w:r w:rsidR="00B35054" w:rsidRPr="00B35054">
                              <w:rPr>
                                <w:rFonts w:ascii="Nirmala UI" w:hAnsi="Nirmala UI" w:cs="Nirmala UI"/>
                                <w:sz w:val="18"/>
                                <w:szCs w:val="19"/>
                              </w:rPr>
                              <w:t>d</w:t>
                            </w:r>
                            <w:r w:rsidR="00B35054">
                              <w:rPr>
                                <w:rFonts w:ascii="Nirmala UI" w:hAnsi="Nirmala UI" w:cs="Nirmala UI"/>
                                <w:sz w:val="18"/>
                                <w:szCs w:val="19"/>
                              </w:rPr>
                              <w:t>. Analysieren Sie dafür arbeitsteilig die Abschnitte 2 (Tierhaltung), 3 (Töten von Tieren), 4 (Eingriffe an Tieren), 5 (Tierversuche)</w:t>
                            </w:r>
                            <w:r w:rsidR="006463BA">
                              <w:rPr>
                                <w:rFonts w:ascii="Nirmala UI" w:hAnsi="Nirmala UI" w:cs="Nirmala UI"/>
                                <w:sz w:val="18"/>
                                <w:szCs w:val="19"/>
                              </w:rPr>
                              <w:t>, 6 (Tierschutzbeauftragte) und 7 (Zucht, Halten von Tieren, Handel mit Tieren)</w:t>
                            </w:r>
                            <w:r w:rsidR="00B35054">
                              <w:rPr>
                                <w:rFonts w:ascii="Nirmala UI" w:hAnsi="Nirmala UI" w:cs="Nirmala UI"/>
                                <w:sz w:val="18"/>
                                <w:szCs w:val="19"/>
                              </w:rPr>
                              <w:t xml:space="preserve"> des Tierschutzgesetzes und erstellen</w:t>
                            </w:r>
                            <w:r w:rsidR="00B35054" w:rsidRPr="00B35054">
                              <w:rPr>
                                <w:rFonts w:ascii="Nirmala UI" w:hAnsi="Nirmala UI" w:cs="Nirmala UI"/>
                                <w:sz w:val="18"/>
                                <w:szCs w:val="19"/>
                              </w:rPr>
                              <w:t xml:space="preserve"> Sie auf dieser Grundlage Argumente</w:t>
                            </w:r>
                            <w:r w:rsidRPr="00B35054">
                              <w:rPr>
                                <w:rFonts w:ascii="Nirmala UI" w:hAnsi="Nirmala UI" w:cs="Nirmala UI"/>
                                <w:sz w:val="18"/>
                                <w:szCs w:val="19"/>
                              </w:rPr>
                              <w:t xml:space="preserve"> für </w:t>
                            </w:r>
                            <w:r w:rsidR="00B35054" w:rsidRPr="00B35054">
                              <w:rPr>
                                <w:rFonts w:ascii="Nirmala UI" w:hAnsi="Nirmala UI" w:cs="Nirmala UI"/>
                                <w:sz w:val="18"/>
                                <w:szCs w:val="19"/>
                              </w:rPr>
                              <w:t xml:space="preserve">den </w:t>
                            </w:r>
                            <w:r w:rsidRPr="00B35054">
                              <w:rPr>
                                <w:rFonts w:ascii="Nirmala UI" w:hAnsi="Nirmala UI" w:cs="Nirmala UI"/>
                                <w:sz w:val="18"/>
                                <w:szCs w:val="19"/>
                              </w:rPr>
                              <w:t xml:space="preserve">Tierschutz. </w:t>
                            </w:r>
                            <w:r w:rsidR="00527CF6" w:rsidRPr="00B35054">
                              <w:rPr>
                                <w:rFonts w:ascii="Nirmala UI" w:hAnsi="Nirmala UI" w:cs="Nirmala UI"/>
                                <w:i/>
                                <w:sz w:val="18"/>
                                <w:szCs w:val="19"/>
                              </w:rPr>
                              <w:t xml:space="preserve">(Anforderungsbereich </w:t>
                            </w:r>
                            <w:r w:rsidR="00527CF6" w:rsidRPr="002F70CE">
                              <w:rPr>
                                <w:rFonts w:ascii="Nirmala UI" w:hAnsi="Nirmala UI" w:cs="Nirmala UI"/>
                                <w:i/>
                                <w:sz w:val="18"/>
                                <w:szCs w:val="19"/>
                              </w:rPr>
                              <w:t>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B20FB6"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Die genetische Nähe zum Menschen macht Menschenaffen vor allem für medizinische Versuche in der Pharmaindustrie interessant, um Medikamente für Menschen herzustellen. Erörtern Sie, ob in diesem Fall der Menschenschutz dem Tierschutz vorzuziehen ist und beziehen Sie bei Ihrer Begründung auch die Argumente</w:t>
                            </w:r>
                            <w:r w:rsidR="006463BA">
                              <w:rPr>
                                <w:rFonts w:ascii="Nirmala UI" w:hAnsi="Nirmala UI" w:cs="Nirmala UI"/>
                                <w:sz w:val="18"/>
                                <w:szCs w:val="19"/>
                              </w:rPr>
                              <w:t xml:space="preserve"> aus Aufgabe 2 sowie</w:t>
                            </w:r>
                            <w:r>
                              <w:rPr>
                                <w:rFonts w:ascii="Nirmala UI" w:hAnsi="Nirmala UI" w:cs="Nirmala UI"/>
                                <w:sz w:val="18"/>
                                <w:szCs w:val="19"/>
                              </w:rPr>
                              <w:t xml:space="preserve"> von Bentham und Singer mit ein.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5pt;margin-top:23.05pt;width:243.75pt;height:362.2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78032C"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78032C">
                        <w:rPr>
                          <w:rFonts w:ascii="Nirmala UI" w:hAnsi="Nirmala UI" w:cs="Nirmala UI"/>
                          <w:sz w:val="18"/>
                          <w:szCs w:val="19"/>
                        </w:rPr>
                        <w:t>Nennen Sie die Argumente, nach denen m</w:t>
                      </w:r>
                      <w:r w:rsidR="00D14387" w:rsidRPr="0078032C">
                        <w:rPr>
                          <w:rFonts w:ascii="Nirmala UI" w:hAnsi="Nirmala UI" w:cs="Nirmala UI"/>
                          <w:sz w:val="18"/>
                          <w:szCs w:val="19"/>
                        </w:rPr>
                        <w:t xml:space="preserve">an </w:t>
                      </w:r>
                      <w:r w:rsidRPr="0078032C">
                        <w:rPr>
                          <w:rFonts w:ascii="Nirmala UI" w:hAnsi="Nirmala UI" w:cs="Nirmala UI"/>
                          <w:sz w:val="18"/>
                          <w:szCs w:val="19"/>
                        </w:rPr>
                        <w:t>laut</w:t>
                      </w:r>
                      <w:r w:rsidR="00D14387" w:rsidRPr="0078032C">
                        <w:rPr>
                          <w:rFonts w:ascii="Nirmala UI" w:hAnsi="Nirmala UI" w:cs="Nirmala UI"/>
                          <w:sz w:val="18"/>
                          <w:szCs w:val="19"/>
                        </w:rPr>
                        <w:t xml:space="preserve"> Bentham und Singer die Interessen von Tieren genauso wie menschliche Interessen achten</w:t>
                      </w:r>
                      <w:r w:rsidRPr="0078032C">
                        <w:rPr>
                          <w:rFonts w:ascii="Nirmala UI" w:hAnsi="Nirmala UI" w:cs="Nirmala UI"/>
                          <w:sz w:val="18"/>
                          <w:szCs w:val="19"/>
                        </w:rPr>
                        <w:t xml:space="preserve"> sollte</w:t>
                      </w:r>
                      <w:r>
                        <w:rPr>
                          <w:rFonts w:ascii="Nirmala UI" w:hAnsi="Nirmala UI" w:cs="Nirmala UI"/>
                          <w:sz w:val="18"/>
                          <w:szCs w:val="19"/>
                        </w:rPr>
                        <w:t>.</w:t>
                      </w:r>
                      <w:r w:rsidR="00527CF6" w:rsidRPr="0078032C">
                        <w:rPr>
                          <w:rFonts w:ascii="Nirmala UI" w:hAnsi="Nirmala UI" w:cs="Nirmala U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225349" w:rsidP="000D410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B35054">
                        <w:rPr>
                          <w:rFonts w:ascii="Nirmala UI" w:hAnsi="Nirmala UI" w:cs="Nirmala UI"/>
                          <w:sz w:val="18"/>
                          <w:szCs w:val="19"/>
                        </w:rPr>
                        <w:t>Recherchieren Sie die rechtliche Stellung der Tiere</w:t>
                      </w:r>
                      <w:r w:rsidR="00A928AB" w:rsidRPr="00B35054">
                        <w:rPr>
                          <w:rFonts w:ascii="Nirmala UI" w:hAnsi="Nirmala UI" w:cs="Nirmala UI"/>
                          <w:sz w:val="18"/>
                          <w:szCs w:val="19"/>
                        </w:rPr>
                        <w:t xml:space="preserve"> </w:t>
                      </w:r>
                      <w:r w:rsidRPr="00B35054">
                        <w:rPr>
                          <w:rFonts w:ascii="Nirmala UI" w:hAnsi="Nirmala UI" w:cs="Nirmala UI"/>
                          <w:sz w:val="18"/>
                          <w:szCs w:val="19"/>
                        </w:rPr>
                        <w:t>in Deutschlan</w:t>
                      </w:r>
                      <w:r w:rsidR="00B35054" w:rsidRPr="00B35054">
                        <w:rPr>
                          <w:rFonts w:ascii="Nirmala UI" w:hAnsi="Nirmala UI" w:cs="Nirmala UI"/>
                          <w:sz w:val="18"/>
                          <w:szCs w:val="19"/>
                        </w:rPr>
                        <w:t>d</w:t>
                      </w:r>
                      <w:r w:rsidR="00B35054">
                        <w:rPr>
                          <w:rFonts w:ascii="Nirmala UI" w:hAnsi="Nirmala UI" w:cs="Nirmala UI"/>
                          <w:sz w:val="18"/>
                          <w:szCs w:val="19"/>
                        </w:rPr>
                        <w:t>. Analysieren Sie dafür arbeitsteilig die Abschnitte 2 (Tierhaltung), 3 (Töten von Tieren), 4 (Eingriffe an Tieren), 5 (Tierversuche)</w:t>
                      </w:r>
                      <w:r w:rsidR="006463BA">
                        <w:rPr>
                          <w:rFonts w:ascii="Nirmala UI" w:hAnsi="Nirmala UI" w:cs="Nirmala UI"/>
                          <w:sz w:val="18"/>
                          <w:szCs w:val="19"/>
                        </w:rPr>
                        <w:t>, 6 (Tierschutzbeauftragte) und 7 (Zucht, Halten von Tieren, Handel mit Tieren)</w:t>
                      </w:r>
                      <w:r w:rsidR="00B35054">
                        <w:rPr>
                          <w:rFonts w:ascii="Nirmala UI" w:hAnsi="Nirmala UI" w:cs="Nirmala UI"/>
                          <w:sz w:val="18"/>
                          <w:szCs w:val="19"/>
                        </w:rPr>
                        <w:t xml:space="preserve"> des Tierschutzgesetzes und erstellen</w:t>
                      </w:r>
                      <w:r w:rsidR="00B35054" w:rsidRPr="00B35054">
                        <w:rPr>
                          <w:rFonts w:ascii="Nirmala UI" w:hAnsi="Nirmala UI" w:cs="Nirmala UI"/>
                          <w:sz w:val="18"/>
                          <w:szCs w:val="19"/>
                        </w:rPr>
                        <w:t xml:space="preserve"> Sie auf dieser Grundlage Argumente</w:t>
                      </w:r>
                      <w:r w:rsidRPr="00B35054">
                        <w:rPr>
                          <w:rFonts w:ascii="Nirmala UI" w:hAnsi="Nirmala UI" w:cs="Nirmala UI"/>
                          <w:sz w:val="18"/>
                          <w:szCs w:val="19"/>
                        </w:rPr>
                        <w:t xml:space="preserve"> für </w:t>
                      </w:r>
                      <w:r w:rsidR="00B35054" w:rsidRPr="00B35054">
                        <w:rPr>
                          <w:rFonts w:ascii="Nirmala UI" w:hAnsi="Nirmala UI" w:cs="Nirmala UI"/>
                          <w:sz w:val="18"/>
                          <w:szCs w:val="19"/>
                        </w:rPr>
                        <w:t xml:space="preserve">den </w:t>
                      </w:r>
                      <w:r w:rsidRPr="00B35054">
                        <w:rPr>
                          <w:rFonts w:ascii="Nirmala UI" w:hAnsi="Nirmala UI" w:cs="Nirmala UI"/>
                          <w:sz w:val="18"/>
                          <w:szCs w:val="19"/>
                        </w:rPr>
                        <w:t xml:space="preserve">Tierschutz. </w:t>
                      </w:r>
                      <w:r w:rsidR="00527CF6" w:rsidRPr="00B35054">
                        <w:rPr>
                          <w:rFonts w:ascii="Nirmala UI" w:hAnsi="Nirmala UI" w:cs="Nirmala UI"/>
                          <w:i/>
                          <w:sz w:val="18"/>
                          <w:szCs w:val="19"/>
                        </w:rPr>
                        <w:t xml:space="preserve">(Anforderungsbereich </w:t>
                      </w:r>
                      <w:r w:rsidR="00527CF6" w:rsidRPr="002F70CE">
                        <w:rPr>
                          <w:rFonts w:ascii="Nirmala UI" w:hAnsi="Nirmala UI" w:cs="Nirmala UI"/>
                          <w:i/>
                          <w:sz w:val="18"/>
                          <w:szCs w:val="19"/>
                        </w:rPr>
                        <w:t>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B20FB6"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Die genetische Nähe zum Menschen macht Menschenaffen vor allem für medizinische Versuche in der Pharmaindustrie interessant, um Medikamente für Menschen herzustellen. Erörtern Sie, ob in diesem Fall der Menschenschutz dem Tierschutz vorzuziehen ist und beziehen Sie bei Ihrer Begründung auch die Argumente</w:t>
                      </w:r>
                      <w:r w:rsidR="006463BA">
                        <w:rPr>
                          <w:rFonts w:ascii="Nirmala UI" w:hAnsi="Nirmala UI" w:cs="Nirmala UI"/>
                          <w:sz w:val="18"/>
                          <w:szCs w:val="19"/>
                        </w:rPr>
                        <w:t xml:space="preserve"> aus Aufgabe 2 sowie</w:t>
                      </w:r>
                      <w:r>
                        <w:rPr>
                          <w:rFonts w:ascii="Nirmala UI" w:hAnsi="Nirmala UI" w:cs="Nirmala UI"/>
                          <w:sz w:val="18"/>
                          <w:szCs w:val="19"/>
                        </w:rPr>
                        <w:t xml:space="preserve"> von Bentham und Singer mit ein.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CC097D">
      <w:headerReference w:type="default" r:id="rId9"/>
      <w:pgSz w:w="11906" w:h="16838"/>
      <w:pgMar w:top="84" w:right="567" w:bottom="993"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5D" w:rsidRDefault="0047545D" w:rsidP="00273E9A">
      <w:pPr>
        <w:spacing w:after="0" w:line="240" w:lineRule="auto"/>
      </w:pPr>
      <w:r>
        <w:separator/>
      </w:r>
    </w:p>
  </w:endnote>
  <w:endnote w:type="continuationSeparator" w:id="0">
    <w:p w:rsidR="0047545D" w:rsidRDefault="0047545D"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Bold">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5D" w:rsidRDefault="0047545D" w:rsidP="00273E9A">
      <w:pPr>
        <w:spacing w:after="0" w:line="240" w:lineRule="auto"/>
      </w:pPr>
      <w:r>
        <w:separator/>
      </w:r>
    </w:p>
  </w:footnote>
  <w:footnote w:type="continuationSeparator" w:id="0">
    <w:p w:rsidR="0047545D" w:rsidRDefault="0047545D" w:rsidP="00273E9A">
      <w:pPr>
        <w:spacing w:after="0" w:line="240" w:lineRule="auto"/>
      </w:pPr>
      <w:r>
        <w:continuationSeparator/>
      </w:r>
    </w:p>
  </w:footnote>
  <w:footnote w:id="1">
    <w:p w:rsidR="00833686" w:rsidRPr="00833686" w:rsidRDefault="00833686" w:rsidP="00833686">
      <w:pPr>
        <w:pStyle w:val="Funotentext"/>
        <w:rPr>
          <w:rFonts w:ascii="Nirmala UI" w:hAnsi="Nirmala UI" w:cs="Nirmala UI"/>
          <w:sz w:val="15"/>
          <w:szCs w:val="15"/>
          <w:lang w:val="en-GB"/>
        </w:rPr>
      </w:pPr>
      <w:r w:rsidRPr="00833686">
        <w:rPr>
          <w:rStyle w:val="Funotenzeichen"/>
          <w:rFonts w:ascii="Nirmala UI" w:hAnsi="Nirmala UI" w:cs="Nirmala UI"/>
          <w:sz w:val="15"/>
          <w:szCs w:val="15"/>
        </w:rPr>
        <w:footnoteRef/>
      </w:r>
      <w:r w:rsidRPr="00833686">
        <w:rPr>
          <w:rFonts w:ascii="Nirmala UI" w:hAnsi="Nirmala UI" w:cs="Nirmala UI"/>
          <w:sz w:val="15"/>
          <w:szCs w:val="15"/>
          <w:lang w:val="en-GB"/>
        </w:rPr>
        <w:t xml:space="preserve"> Bentham, Jeremy: An introduction to the principles of morals and legislation. Band 2, 1789. In: Burns, James; Rosen, Fred; Schofield, Philip (Hrsg.): </w:t>
      </w:r>
    </w:p>
    <w:p w:rsidR="00833686" w:rsidRPr="00833686" w:rsidRDefault="00833686" w:rsidP="00833686">
      <w:pPr>
        <w:pStyle w:val="Funotentext"/>
        <w:rPr>
          <w:rFonts w:ascii="Nirmala UI" w:hAnsi="Nirmala UI" w:cs="Nirmala UI"/>
          <w:sz w:val="15"/>
          <w:szCs w:val="15"/>
          <w:lang w:val="en-GB"/>
        </w:rPr>
      </w:pPr>
      <w:r w:rsidRPr="00833686">
        <w:rPr>
          <w:rFonts w:ascii="Nirmala UI" w:hAnsi="Nirmala UI" w:cs="Nirmala UI"/>
          <w:sz w:val="15"/>
          <w:szCs w:val="15"/>
          <w:lang w:val="en-GB"/>
        </w:rPr>
        <w:t>The Collected Works of Jeremy Bentham. University of London: The Athlon Press, London 1970, Seite 283</w:t>
      </w:r>
    </w:p>
  </w:footnote>
  <w:footnote w:id="2">
    <w:p w:rsidR="00F541BB" w:rsidRPr="00833686" w:rsidRDefault="00F541BB" w:rsidP="00F541BB">
      <w:pPr>
        <w:pStyle w:val="Funotentext"/>
        <w:rPr>
          <w:rFonts w:ascii="Nirmala UI" w:hAnsi="Nirmala UI" w:cs="Nirmala UI"/>
          <w:sz w:val="15"/>
          <w:szCs w:val="15"/>
        </w:rPr>
      </w:pPr>
      <w:r w:rsidRPr="00833686">
        <w:rPr>
          <w:rStyle w:val="Funotenzeichen"/>
          <w:rFonts w:ascii="Nirmala UI" w:hAnsi="Nirmala UI" w:cs="Nirmala UI"/>
          <w:sz w:val="15"/>
          <w:szCs w:val="15"/>
        </w:rPr>
        <w:footnoteRef/>
      </w:r>
      <w:r w:rsidRPr="00833686">
        <w:rPr>
          <w:rFonts w:ascii="Nirmala UI" w:hAnsi="Nirmala UI" w:cs="Nirmala UI"/>
          <w:sz w:val="15"/>
          <w:szCs w:val="15"/>
        </w:rPr>
        <w:t xml:space="preserve"> Wild, Markus: Tierphilosophie zur Einführung. Junius, Hamburg 2010, Seite 26</w:t>
      </w:r>
    </w:p>
  </w:footnote>
  <w:footnote w:id="3">
    <w:p w:rsidR="00F541BB" w:rsidRPr="00833686" w:rsidRDefault="00F541BB" w:rsidP="00F541BB">
      <w:pPr>
        <w:pStyle w:val="Funotentext"/>
        <w:rPr>
          <w:rFonts w:ascii="Nirmala UI" w:hAnsi="Nirmala UI" w:cs="Nirmala UI"/>
          <w:sz w:val="15"/>
          <w:szCs w:val="15"/>
        </w:rPr>
      </w:pPr>
      <w:r w:rsidRPr="00833686">
        <w:rPr>
          <w:rStyle w:val="Funotenzeichen"/>
          <w:rFonts w:ascii="Nirmala UI" w:hAnsi="Nirmala UI" w:cs="Nirmala UI"/>
          <w:sz w:val="15"/>
          <w:szCs w:val="15"/>
        </w:rPr>
        <w:footnoteRef/>
      </w:r>
      <w:r w:rsidRPr="00833686">
        <w:rPr>
          <w:rFonts w:ascii="Nirmala UI" w:hAnsi="Nirmala UI" w:cs="Nirmala UI"/>
          <w:sz w:val="15"/>
          <w:szCs w:val="15"/>
          <w:lang w:val="en-GB"/>
        </w:rPr>
        <w:t xml:space="preserve"> Singer, Peter: All Animals are Equal. In: Regan, Tom; Singer, Peter (Hrsg.): Animal Rights and Human Obligations. </w:t>
      </w:r>
      <w:r w:rsidRPr="00833686">
        <w:rPr>
          <w:rFonts w:ascii="Nirmala UI" w:hAnsi="Nirmala UI" w:cs="Nirmala UI"/>
          <w:sz w:val="15"/>
          <w:szCs w:val="15"/>
        </w:rPr>
        <w:t>London 1976, Seite 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B20FB6">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7" name="Grafik 7"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B20FB6">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963BD3"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Angewandte Ethik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963BD3"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Tierethik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873022"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Tierschutz oder Menschenschutz?</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564F9"/>
    <w:rsid w:val="000B5000"/>
    <w:rsid w:val="000D410B"/>
    <w:rsid w:val="000D45BA"/>
    <w:rsid w:val="00115D62"/>
    <w:rsid w:val="00123239"/>
    <w:rsid w:val="001532FD"/>
    <w:rsid w:val="00156973"/>
    <w:rsid w:val="0016431E"/>
    <w:rsid w:val="0016635A"/>
    <w:rsid w:val="0017269D"/>
    <w:rsid w:val="00191171"/>
    <w:rsid w:val="0019337F"/>
    <w:rsid w:val="001A3FB9"/>
    <w:rsid w:val="001A7BD5"/>
    <w:rsid w:val="001A7BE0"/>
    <w:rsid w:val="0020202C"/>
    <w:rsid w:val="00225349"/>
    <w:rsid w:val="00257FCD"/>
    <w:rsid w:val="00273E9A"/>
    <w:rsid w:val="002827FA"/>
    <w:rsid w:val="002A450E"/>
    <w:rsid w:val="002F70CE"/>
    <w:rsid w:val="00373E27"/>
    <w:rsid w:val="0039777B"/>
    <w:rsid w:val="003F6A9D"/>
    <w:rsid w:val="0047545D"/>
    <w:rsid w:val="00480DE9"/>
    <w:rsid w:val="00490F25"/>
    <w:rsid w:val="004D05B4"/>
    <w:rsid w:val="004D26D9"/>
    <w:rsid w:val="004D3DAE"/>
    <w:rsid w:val="004D549A"/>
    <w:rsid w:val="004E2383"/>
    <w:rsid w:val="004F3855"/>
    <w:rsid w:val="00516874"/>
    <w:rsid w:val="00527CF6"/>
    <w:rsid w:val="00575E76"/>
    <w:rsid w:val="0061016D"/>
    <w:rsid w:val="00626E68"/>
    <w:rsid w:val="00643E8F"/>
    <w:rsid w:val="00645605"/>
    <w:rsid w:val="006463BA"/>
    <w:rsid w:val="006928AB"/>
    <w:rsid w:val="00693EC2"/>
    <w:rsid w:val="006C2809"/>
    <w:rsid w:val="006E3788"/>
    <w:rsid w:val="0078032C"/>
    <w:rsid w:val="007B21E0"/>
    <w:rsid w:val="007D088D"/>
    <w:rsid w:val="007F12BF"/>
    <w:rsid w:val="00813431"/>
    <w:rsid w:val="00833686"/>
    <w:rsid w:val="00842782"/>
    <w:rsid w:val="00850525"/>
    <w:rsid w:val="008525BA"/>
    <w:rsid w:val="00873022"/>
    <w:rsid w:val="0087712B"/>
    <w:rsid w:val="008B644E"/>
    <w:rsid w:val="00911B1F"/>
    <w:rsid w:val="00927079"/>
    <w:rsid w:val="00932620"/>
    <w:rsid w:val="00962003"/>
    <w:rsid w:val="00963BD3"/>
    <w:rsid w:val="00993268"/>
    <w:rsid w:val="00A06073"/>
    <w:rsid w:val="00A25E6C"/>
    <w:rsid w:val="00A70D62"/>
    <w:rsid w:val="00A928AB"/>
    <w:rsid w:val="00AB00AD"/>
    <w:rsid w:val="00AB0BCE"/>
    <w:rsid w:val="00AB7E9D"/>
    <w:rsid w:val="00AC6FDC"/>
    <w:rsid w:val="00AD7802"/>
    <w:rsid w:val="00B01C89"/>
    <w:rsid w:val="00B20FB6"/>
    <w:rsid w:val="00B35054"/>
    <w:rsid w:val="00B549BE"/>
    <w:rsid w:val="00B702E8"/>
    <w:rsid w:val="00BB4777"/>
    <w:rsid w:val="00BE06EC"/>
    <w:rsid w:val="00BE16F3"/>
    <w:rsid w:val="00BF0F74"/>
    <w:rsid w:val="00C4793A"/>
    <w:rsid w:val="00C60C62"/>
    <w:rsid w:val="00C663A2"/>
    <w:rsid w:val="00CA3E83"/>
    <w:rsid w:val="00CC097D"/>
    <w:rsid w:val="00CF4082"/>
    <w:rsid w:val="00D14387"/>
    <w:rsid w:val="00D57BC4"/>
    <w:rsid w:val="00D81132"/>
    <w:rsid w:val="00D90068"/>
    <w:rsid w:val="00D90569"/>
    <w:rsid w:val="00E04E18"/>
    <w:rsid w:val="00E5122B"/>
    <w:rsid w:val="00E565BD"/>
    <w:rsid w:val="00E83E70"/>
    <w:rsid w:val="00E9400B"/>
    <w:rsid w:val="00EC24BB"/>
    <w:rsid w:val="00EE3167"/>
    <w:rsid w:val="00EE67D5"/>
    <w:rsid w:val="00F0545F"/>
    <w:rsid w:val="00F326D1"/>
    <w:rsid w:val="00F541BB"/>
    <w:rsid w:val="00F569C2"/>
    <w:rsid w:val="00F64BA5"/>
    <w:rsid w:val="00F67FE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DB55-B724-4977-9C6A-F78DB1E4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16</cp:revision>
  <cp:lastPrinted>2019-05-08T16:28:00Z</cp:lastPrinted>
  <dcterms:created xsi:type="dcterms:W3CDTF">2019-05-06T10:04:00Z</dcterms:created>
  <dcterms:modified xsi:type="dcterms:W3CDTF">2019-06-22T13:25:00Z</dcterms:modified>
</cp:coreProperties>
</file>